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35" w:rsidRPr="00133039" w:rsidRDefault="00F22D35" w:rsidP="00133039">
      <w:pPr>
        <w:ind w:left="-18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72" w:type="dxa"/>
        <w:tblLook w:val="01E0"/>
      </w:tblPr>
      <w:tblGrid>
        <w:gridCol w:w="5675"/>
        <w:gridCol w:w="3816"/>
      </w:tblGrid>
      <w:tr w:rsidR="00F22D35" w:rsidRPr="00133039">
        <w:trPr>
          <w:trHeight w:val="1355"/>
        </w:trPr>
        <w:tc>
          <w:tcPr>
            <w:tcW w:w="5675" w:type="dxa"/>
          </w:tcPr>
          <w:p w:rsidR="00F22D35" w:rsidRPr="00133039" w:rsidRDefault="00182279" w:rsidP="0013303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279">
              <w:rPr>
                <w:rFonts w:ascii="Arial" w:hAnsi="Arial" w:cs="Arial"/>
                <w:sz w:val="20"/>
                <w:szCs w:val="20"/>
                <w:lang w:val="es-ES"/>
              </w:rPr>
              <w:drawing>
                <wp:inline distT="0" distB="0" distL="0" distR="0">
                  <wp:extent cx="2647950" cy="880972"/>
                  <wp:effectExtent l="19050" t="0" r="0" b="0"/>
                  <wp:docPr id="10" name="Picture 1" descr="http://ifcnet.ifc.org/ifcint/ccrdr.nsf/AttachmentsByTitle/IFC_Logo_EngF_Black_Horz_jpg/$FILE/IFC_Logo_Eng_Black_Ho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fcnet.ifc.org/ifcint/ccrdr.nsf/AttachmentsByTitle/IFC_Logo_EngF_Black_Horz_jpg/$FILE/IFC_Logo_Eng_Black_Ho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80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F22D35" w:rsidRPr="00133039" w:rsidRDefault="00256064" w:rsidP="0013303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56155" cy="607060"/>
                  <wp:effectExtent l="19050" t="0" r="0" b="0"/>
                  <wp:docPr id="2" name="Picture 2" descr="W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6C4" w:rsidRPr="00133039" w:rsidRDefault="001C05A1" w:rsidP="00133039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8"/>
          <w:szCs w:val="32"/>
          <w:lang w:val="es-ES"/>
        </w:rPr>
      </w:pPr>
      <w:r w:rsidRPr="00133039">
        <w:rPr>
          <w:rFonts w:ascii="Arial" w:hAnsi="Arial" w:cs="Arial"/>
          <w:b/>
          <w:bCs/>
          <w:color w:val="000000"/>
          <w:sz w:val="28"/>
          <w:szCs w:val="32"/>
          <w:lang w:val="es-ES"/>
        </w:rPr>
        <w:t>Comunicado</w:t>
      </w:r>
      <w:r w:rsidR="00F73B81" w:rsidRPr="00133039">
        <w:rPr>
          <w:rFonts w:ascii="Arial" w:hAnsi="Arial" w:cs="Arial"/>
          <w:b/>
          <w:bCs/>
          <w:color w:val="000000"/>
          <w:sz w:val="28"/>
          <w:szCs w:val="32"/>
          <w:lang w:val="es-ES"/>
        </w:rPr>
        <w:t xml:space="preserve"> de prensa</w:t>
      </w:r>
    </w:p>
    <w:p w:rsidR="00BA36C4" w:rsidRPr="00133039" w:rsidRDefault="00F73B81" w:rsidP="0013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ES"/>
        </w:rPr>
      </w:pPr>
      <w:r w:rsidRPr="00133039">
        <w:rPr>
          <w:rFonts w:ascii="Arial" w:hAnsi="Arial" w:cs="Arial"/>
          <w:b/>
          <w:sz w:val="20"/>
          <w:lang w:val="es-ES"/>
        </w:rPr>
        <w:t>E</w:t>
      </w:r>
      <w:r w:rsidR="00634C21" w:rsidRPr="00133039">
        <w:rPr>
          <w:rFonts w:ascii="Arial" w:hAnsi="Arial" w:cs="Arial"/>
          <w:b/>
          <w:sz w:val="20"/>
          <w:lang w:val="es-ES"/>
        </w:rPr>
        <w:t>n la ciudad de Washington</w:t>
      </w:r>
      <w:r w:rsidR="00BA36C4" w:rsidRPr="00133039">
        <w:rPr>
          <w:rFonts w:ascii="Arial" w:hAnsi="Arial" w:cs="Arial"/>
          <w:b/>
          <w:sz w:val="20"/>
          <w:lang w:val="es-ES"/>
        </w:rPr>
        <w:t>:</w:t>
      </w:r>
    </w:p>
    <w:p w:rsidR="00BA36C4" w:rsidRPr="00133039" w:rsidRDefault="00BA36C4" w:rsidP="001330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proofErr w:type="spellStart"/>
      <w:r w:rsidRPr="00133039">
        <w:rPr>
          <w:rFonts w:ascii="Arial" w:hAnsi="Arial" w:cs="Arial"/>
          <w:bCs/>
          <w:sz w:val="20"/>
          <w:lang w:val="es-ES"/>
        </w:rPr>
        <w:t>Nadine</w:t>
      </w:r>
      <w:proofErr w:type="spellEnd"/>
      <w:r w:rsidRPr="00133039">
        <w:rPr>
          <w:rFonts w:ascii="Arial" w:hAnsi="Arial" w:cs="Arial"/>
          <w:bCs/>
          <w:sz w:val="20"/>
          <w:lang w:val="es-ES"/>
        </w:rPr>
        <w:t xml:space="preserve"> </w:t>
      </w:r>
      <w:proofErr w:type="spellStart"/>
      <w:r w:rsidRPr="00133039">
        <w:rPr>
          <w:rFonts w:ascii="Arial" w:hAnsi="Arial" w:cs="Arial"/>
          <w:bCs/>
          <w:sz w:val="20"/>
          <w:lang w:val="es-ES"/>
        </w:rPr>
        <w:t>Ghannam</w:t>
      </w:r>
      <w:proofErr w:type="spellEnd"/>
    </w:p>
    <w:p w:rsidR="00BA36C4" w:rsidRPr="00133039" w:rsidRDefault="00F73B81" w:rsidP="001330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133039">
        <w:rPr>
          <w:rFonts w:ascii="Arial" w:hAnsi="Arial" w:cs="Arial"/>
          <w:bCs/>
          <w:sz w:val="20"/>
          <w:lang w:val="es-ES"/>
        </w:rPr>
        <w:t>Teléfono</w:t>
      </w:r>
      <w:r w:rsidR="00BA36C4" w:rsidRPr="00133039">
        <w:rPr>
          <w:rFonts w:ascii="Arial" w:hAnsi="Arial" w:cs="Arial"/>
          <w:bCs/>
          <w:sz w:val="20"/>
          <w:lang w:val="es-ES"/>
        </w:rPr>
        <w:t>:</w:t>
      </w:r>
      <w:r w:rsidR="00AC7404" w:rsidRPr="00133039">
        <w:rPr>
          <w:rFonts w:ascii="Arial" w:hAnsi="Arial" w:cs="Arial"/>
          <w:bCs/>
          <w:sz w:val="20"/>
          <w:lang w:val="es-ES"/>
        </w:rPr>
        <w:t xml:space="preserve"> </w:t>
      </w:r>
      <w:r w:rsidR="00BA36C4" w:rsidRPr="00133039">
        <w:rPr>
          <w:rFonts w:ascii="Arial" w:hAnsi="Arial" w:cs="Arial"/>
          <w:color w:val="000000"/>
          <w:sz w:val="20"/>
          <w:szCs w:val="20"/>
          <w:lang w:val="es-ES"/>
        </w:rPr>
        <w:t>+1 (202) 473-3011</w:t>
      </w:r>
      <w:r w:rsidR="00BA36C4"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</w:p>
    <w:p w:rsidR="00BA36C4" w:rsidRPr="00133039" w:rsidRDefault="00F73B81" w:rsidP="001330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/>
        </w:rPr>
      </w:pPr>
      <w:r w:rsidRPr="00133039">
        <w:rPr>
          <w:rFonts w:ascii="Arial" w:hAnsi="Arial" w:cs="Arial"/>
          <w:bCs/>
          <w:sz w:val="20"/>
          <w:lang w:val="es-ES"/>
        </w:rPr>
        <w:t>Correo electrónico</w:t>
      </w:r>
      <w:r w:rsidR="00BA36C4" w:rsidRPr="00133039">
        <w:rPr>
          <w:rFonts w:ascii="Arial" w:hAnsi="Arial" w:cs="Arial"/>
          <w:bCs/>
          <w:sz w:val="20"/>
          <w:lang w:val="es-ES"/>
        </w:rPr>
        <w:t>: nsghannam@ifc.org</w:t>
      </w:r>
    </w:p>
    <w:p w:rsidR="00F22D35" w:rsidRPr="00133039" w:rsidRDefault="00F22D35" w:rsidP="0013303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es-ES"/>
        </w:rPr>
      </w:pPr>
    </w:p>
    <w:p w:rsidR="00F22D35" w:rsidRPr="00133039" w:rsidRDefault="00F22D35" w:rsidP="00133039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proofErr w:type="spellStart"/>
      <w:r w:rsidRPr="00133039">
        <w:rPr>
          <w:rFonts w:ascii="Arial" w:hAnsi="Arial" w:cs="Arial"/>
          <w:b/>
          <w:i/>
          <w:sz w:val="22"/>
          <w:szCs w:val="22"/>
          <w:lang w:val="es-ES"/>
        </w:rPr>
        <w:t>Doing</w:t>
      </w:r>
      <w:proofErr w:type="spellEnd"/>
      <w:r w:rsidRPr="00133039">
        <w:rPr>
          <w:rFonts w:ascii="Arial" w:hAnsi="Arial" w:cs="Arial"/>
          <w:b/>
          <w:i/>
          <w:sz w:val="22"/>
          <w:szCs w:val="22"/>
          <w:lang w:val="es-ES"/>
        </w:rPr>
        <w:t xml:space="preserve"> Business 201</w:t>
      </w:r>
      <w:r w:rsidR="00BF56EB" w:rsidRPr="00133039">
        <w:rPr>
          <w:rFonts w:ascii="Arial" w:hAnsi="Arial" w:cs="Arial"/>
          <w:b/>
          <w:i/>
          <w:sz w:val="22"/>
          <w:szCs w:val="22"/>
          <w:lang w:val="es-ES"/>
        </w:rPr>
        <w:t>1</w:t>
      </w:r>
      <w:r w:rsidRPr="00133039">
        <w:rPr>
          <w:rFonts w:ascii="Arial" w:hAnsi="Arial" w:cs="Arial"/>
          <w:b/>
          <w:i/>
          <w:sz w:val="22"/>
          <w:szCs w:val="22"/>
          <w:lang w:val="es-ES"/>
        </w:rPr>
        <w:t>:</w:t>
      </w:r>
      <w:r w:rsidRPr="00133039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B229C" w:rsidRPr="00133039">
        <w:rPr>
          <w:rFonts w:ascii="Arial" w:hAnsi="Arial" w:cs="Arial"/>
          <w:b/>
          <w:sz w:val="22"/>
          <w:szCs w:val="22"/>
          <w:lang w:val="es-ES"/>
        </w:rPr>
        <w:t>Gr</w:t>
      </w:r>
      <w:r w:rsidR="00F73B81" w:rsidRPr="00133039">
        <w:rPr>
          <w:rFonts w:ascii="Arial" w:hAnsi="Arial" w:cs="Arial"/>
          <w:b/>
          <w:sz w:val="22"/>
          <w:szCs w:val="22"/>
          <w:lang w:val="es-ES"/>
        </w:rPr>
        <w:t>anada, uno de los líderes mundiales en mejora</w:t>
      </w:r>
      <w:r w:rsidR="004505D7">
        <w:rPr>
          <w:rFonts w:ascii="Arial" w:hAnsi="Arial" w:cs="Arial"/>
          <w:b/>
          <w:sz w:val="22"/>
          <w:szCs w:val="22"/>
          <w:lang w:val="es-ES"/>
        </w:rPr>
        <w:t xml:space="preserve">s de </w:t>
      </w:r>
      <w:r w:rsidR="00F73B81" w:rsidRPr="00133039">
        <w:rPr>
          <w:rFonts w:ascii="Arial" w:hAnsi="Arial" w:cs="Arial"/>
          <w:b/>
          <w:sz w:val="22"/>
          <w:szCs w:val="22"/>
          <w:lang w:val="es-ES"/>
        </w:rPr>
        <w:t xml:space="preserve">regulación de </w:t>
      </w:r>
      <w:r w:rsidR="00567735" w:rsidRPr="00133039">
        <w:rPr>
          <w:rFonts w:ascii="Arial" w:hAnsi="Arial" w:cs="Arial"/>
          <w:b/>
          <w:sz w:val="22"/>
          <w:szCs w:val="22"/>
          <w:lang w:val="es-ES"/>
        </w:rPr>
        <w:t xml:space="preserve">negocios </w:t>
      </w:r>
      <w:r w:rsidR="00F73B81" w:rsidRPr="00133039">
        <w:rPr>
          <w:rFonts w:ascii="Arial" w:hAnsi="Arial" w:cs="Arial"/>
          <w:b/>
          <w:sz w:val="22"/>
          <w:szCs w:val="22"/>
          <w:lang w:val="es-ES"/>
        </w:rPr>
        <w:t>para empresarios locales</w:t>
      </w:r>
    </w:p>
    <w:p w:rsidR="00F22D35" w:rsidRPr="00133039" w:rsidRDefault="00F22D35" w:rsidP="001330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7A0E58" w:rsidRPr="00133039" w:rsidRDefault="00634C21" w:rsidP="001330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13303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Ciudad de Washington</w:t>
      </w:r>
      <w:r w:rsidR="00F22D35" w:rsidRPr="0013303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, </w:t>
      </w:r>
      <w:r w:rsidR="00DB229C" w:rsidRPr="0013303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4</w:t>
      </w:r>
      <w:r w:rsidR="00F73B81" w:rsidRPr="0013303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de noviembre de</w:t>
      </w:r>
      <w:r w:rsidR="00BF56EB" w:rsidRPr="0013303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2010</w:t>
      </w:r>
      <w:r w:rsidRPr="00133039">
        <w:rPr>
          <w:rFonts w:ascii="Arial" w:hAnsi="Arial" w:cs="Arial"/>
          <w:color w:val="000000"/>
          <w:sz w:val="20"/>
          <w:szCs w:val="22"/>
          <w:lang w:val="es-ES"/>
        </w:rPr>
        <w:t xml:space="preserve">. </w:t>
      </w:r>
      <w:r w:rsidR="001C05A1" w:rsidRPr="00133039">
        <w:rPr>
          <w:rFonts w:ascii="Arial" w:hAnsi="Arial" w:cs="Arial"/>
          <w:color w:val="000000"/>
          <w:sz w:val="20"/>
          <w:szCs w:val="22"/>
          <w:lang w:val="es-ES"/>
        </w:rPr>
        <w:t>Granada</w:t>
      </w:r>
      <w:r w:rsidR="00F73B81" w:rsidRPr="00133039">
        <w:rPr>
          <w:rFonts w:ascii="Arial" w:hAnsi="Arial" w:cs="Arial"/>
          <w:color w:val="000000"/>
          <w:sz w:val="20"/>
          <w:szCs w:val="22"/>
          <w:lang w:val="es-ES"/>
        </w:rPr>
        <w:t xml:space="preserve"> figuró entre las 10 economías del mundo que</w:t>
      </w:r>
      <w:r w:rsidR="00567735" w:rsidRPr="00133039">
        <w:rPr>
          <w:rFonts w:ascii="Arial" w:hAnsi="Arial" w:cs="Arial"/>
          <w:color w:val="000000"/>
          <w:sz w:val="20"/>
          <w:szCs w:val="22"/>
          <w:lang w:val="es-ES"/>
        </w:rPr>
        <w:t xml:space="preserve"> mejoraron</w:t>
      </w:r>
      <w:r w:rsidR="00F73B81" w:rsidRPr="00133039">
        <w:rPr>
          <w:rFonts w:ascii="Arial" w:hAnsi="Arial" w:cs="Arial"/>
          <w:color w:val="000000"/>
          <w:sz w:val="20"/>
          <w:szCs w:val="22"/>
          <w:lang w:val="es-ES"/>
        </w:rPr>
        <w:t xml:space="preserve"> en</w:t>
      </w:r>
      <w:r w:rsidR="00567735" w:rsidRPr="00133039">
        <w:rPr>
          <w:rFonts w:ascii="Arial" w:hAnsi="Arial" w:cs="Arial"/>
          <w:color w:val="000000"/>
          <w:sz w:val="20"/>
          <w:szCs w:val="22"/>
          <w:lang w:val="es-ES"/>
        </w:rPr>
        <w:t xml:space="preserve"> forma más pronunciada</w:t>
      </w:r>
      <w:r w:rsidR="00F73B81" w:rsidRPr="00133039">
        <w:rPr>
          <w:rFonts w:ascii="Arial" w:hAnsi="Arial" w:cs="Arial"/>
          <w:color w:val="000000"/>
          <w:sz w:val="20"/>
          <w:szCs w:val="22"/>
          <w:lang w:val="es-ES"/>
        </w:rPr>
        <w:t xml:space="preserve"> su entorno </w:t>
      </w:r>
      <w:r w:rsidR="00567735" w:rsidRPr="00133039">
        <w:rPr>
          <w:rFonts w:ascii="Arial" w:hAnsi="Arial" w:cs="Arial"/>
          <w:color w:val="000000"/>
          <w:sz w:val="20"/>
          <w:szCs w:val="22"/>
          <w:lang w:val="es-ES"/>
        </w:rPr>
        <w:t>de negocios</w:t>
      </w:r>
      <w:r w:rsidR="00F73B81" w:rsidRPr="00133039">
        <w:rPr>
          <w:rFonts w:ascii="Arial" w:hAnsi="Arial" w:cs="Arial"/>
          <w:color w:val="000000"/>
          <w:sz w:val="20"/>
          <w:szCs w:val="22"/>
          <w:lang w:val="es-ES"/>
        </w:rPr>
        <w:t>, según</w:t>
      </w:r>
      <w:r w:rsidR="001950C9" w:rsidRPr="00133039">
        <w:rPr>
          <w:rFonts w:ascii="Arial" w:hAnsi="Arial" w:cs="Arial"/>
          <w:color w:val="000000"/>
          <w:sz w:val="20"/>
          <w:szCs w:val="22"/>
          <w:lang w:val="es-ES"/>
        </w:rPr>
        <w:t xml:space="preserve"> </w:t>
      </w:r>
      <w:proofErr w:type="spellStart"/>
      <w:r w:rsidR="001950C9" w:rsidRPr="00133039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>Doing</w:t>
      </w:r>
      <w:proofErr w:type="spellEnd"/>
      <w:r w:rsidR="001950C9" w:rsidRPr="00133039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 Business 2011:</w:t>
      </w:r>
      <w:r w:rsidR="00103049" w:rsidRPr="00133039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 </w:t>
      </w:r>
      <w:r w:rsidR="004505D7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>Creando oportunidades para los emprendedores</w:t>
      </w:r>
      <w:r w:rsidR="001950C9" w:rsidRPr="00133039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>,</w:t>
      </w:r>
      <w:r w:rsidR="001950C9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</w:t>
      </w:r>
      <w:r w:rsidR="00F73B81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octavo de una serie de informes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anuales publicados por</w:t>
      </w:r>
      <w:r w:rsidR="00F73B81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el Banco Mundial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</w:t>
      </w:r>
      <w:r w:rsidR="004505D7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y la 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IFC</w:t>
      </w:r>
      <w:proofErr w:type="spellEnd"/>
      <w:r w:rsidR="00F73B81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.</w:t>
      </w:r>
    </w:p>
    <w:p w:rsidR="007A0E58" w:rsidRPr="00133039" w:rsidRDefault="007A0E58" w:rsidP="001330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73B81" w:rsidRPr="00133039" w:rsidRDefault="001C05A1" w:rsidP="001330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Tras introducir </w:t>
      </w:r>
      <w:r w:rsidR="005F2663" w:rsidRPr="00133039">
        <w:rPr>
          <w:rFonts w:ascii="Arial" w:hAnsi="Arial" w:cs="Arial"/>
          <w:color w:val="000000"/>
          <w:sz w:val="20"/>
          <w:szCs w:val="20"/>
          <w:lang w:val="es-ES"/>
        </w:rPr>
        <w:t>mejoras en materia de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ejecución de contratos y administración aduanera en 2008/2009, Granada implementó el año pasado tres reformas adicionales en materia de </w:t>
      </w:r>
      <w:r w:rsidR="005F2663" w:rsidRPr="00133039">
        <w:rPr>
          <w:rFonts w:ascii="Arial" w:hAnsi="Arial" w:cs="Arial"/>
          <w:color w:val="000000"/>
          <w:sz w:val="20"/>
          <w:szCs w:val="20"/>
          <w:lang w:val="es-ES"/>
        </w:rPr>
        <w:t>regulación de negocios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>, con lo cual su posición en la escala global de facilidad para hacer negocios pasó de 98 a 92 entre</w:t>
      </w:r>
      <w:r w:rsidR="005F2663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las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183 economías examinadas por </w:t>
      </w:r>
      <w:proofErr w:type="spellStart"/>
      <w:r w:rsidR="002E1C17" w:rsidRPr="00133039">
        <w:rPr>
          <w:rFonts w:ascii="Arial" w:hAnsi="Arial"/>
          <w:i/>
          <w:sz w:val="20"/>
          <w:lang w:val="es-ES"/>
        </w:rPr>
        <w:t>Doing</w:t>
      </w:r>
      <w:proofErr w:type="spellEnd"/>
      <w:r w:rsidR="002E1C17" w:rsidRPr="00133039">
        <w:rPr>
          <w:rFonts w:ascii="Arial" w:hAnsi="Arial"/>
          <w:i/>
          <w:sz w:val="20"/>
          <w:lang w:val="es-ES"/>
        </w:rPr>
        <w:t xml:space="preserve"> Business</w:t>
      </w:r>
      <w:r w:rsidR="001950C9" w:rsidRPr="00133039">
        <w:rPr>
          <w:rFonts w:ascii="Arial" w:hAnsi="Arial" w:cs="Arial"/>
          <w:sz w:val="20"/>
          <w:szCs w:val="20"/>
          <w:lang w:val="es-ES"/>
        </w:rPr>
        <w:t xml:space="preserve">. </w:t>
      </w:r>
      <w:r w:rsidR="00F1611E" w:rsidRPr="00133039">
        <w:rPr>
          <w:rFonts w:ascii="Arial" w:hAnsi="Arial" w:cs="Arial"/>
          <w:sz w:val="20"/>
          <w:szCs w:val="20"/>
          <w:lang w:val="es-ES"/>
        </w:rPr>
        <w:t>Gr</w:t>
      </w:r>
      <w:r w:rsidR="00F73B81" w:rsidRPr="00133039">
        <w:rPr>
          <w:rFonts w:ascii="Arial" w:hAnsi="Arial" w:cs="Arial"/>
          <w:sz w:val="20"/>
          <w:szCs w:val="20"/>
          <w:lang w:val="es-ES"/>
        </w:rPr>
        <w:t>a</w:t>
      </w:r>
      <w:r w:rsidR="00F1611E" w:rsidRPr="00133039">
        <w:rPr>
          <w:rFonts w:ascii="Arial" w:hAnsi="Arial" w:cs="Arial"/>
          <w:sz w:val="20"/>
          <w:szCs w:val="20"/>
          <w:lang w:val="es-ES"/>
        </w:rPr>
        <w:t>nada</w:t>
      </w:r>
      <w:r w:rsidR="00F73B81" w:rsidRPr="00133039">
        <w:rPr>
          <w:rFonts w:ascii="Arial" w:hAnsi="Arial" w:cs="Arial"/>
          <w:sz w:val="20"/>
          <w:szCs w:val="20"/>
          <w:lang w:val="es-ES"/>
        </w:rPr>
        <w:t xml:space="preserve"> facilitó la </w:t>
      </w:r>
      <w:r w:rsidR="004505D7">
        <w:rPr>
          <w:rFonts w:ascii="Arial" w:hAnsi="Arial" w:cs="Arial"/>
          <w:sz w:val="20"/>
          <w:szCs w:val="20"/>
          <w:lang w:val="es-ES"/>
        </w:rPr>
        <w:t>creación</w:t>
      </w:r>
      <w:r w:rsidR="004505D7" w:rsidRPr="00133039">
        <w:rPr>
          <w:rFonts w:ascii="Arial" w:hAnsi="Arial" w:cs="Arial"/>
          <w:sz w:val="20"/>
          <w:szCs w:val="20"/>
          <w:lang w:val="es-ES"/>
        </w:rPr>
        <w:t xml:space="preserve"> </w:t>
      </w:r>
      <w:r w:rsidR="00F73B81" w:rsidRPr="00133039">
        <w:rPr>
          <w:rFonts w:ascii="Arial" w:hAnsi="Arial" w:cs="Arial"/>
          <w:sz w:val="20"/>
          <w:szCs w:val="20"/>
          <w:lang w:val="es-ES"/>
        </w:rPr>
        <w:t>de negocios</w:t>
      </w:r>
      <w:r w:rsidR="008E4063" w:rsidRPr="00133039">
        <w:rPr>
          <w:rFonts w:ascii="Arial" w:hAnsi="Arial" w:cs="Arial"/>
          <w:sz w:val="20"/>
          <w:szCs w:val="20"/>
          <w:lang w:val="es-ES"/>
        </w:rPr>
        <w:t xml:space="preserve"> transfiriendo l</w:t>
      </w:r>
      <w:r w:rsidR="004926CD" w:rsidRPr="00133039">
        <w:rPr>
          <w:rFonts w:ascii="Arial" w:hAnsi="Arial" w:cs="Arial"/>
          <w:sz w:val="20"/>
          <w:szCs w:val="20"/>
          <w:lang w:val="es-ES"/>
        </w:rPr>
        <w:t>as</w:t>
      </w:r>
      <w:r w:rsidR="008E4063" w:rsidRPr="00133039">
        <w:rPr>
          <w:rFonts w:ascii="Arial" w:hAnsi="Arial" w:cs="Arial"/>
          <w:sz w:val="20"/>
          <w:szCs w:val="20"/>
          <w:lang w:val="es-ES"/>
        </w:rPr>
        <w:t xml:space="preserve"> </w:t>
      </w:r>
      <w:r w:rsidR="004926CD" w:rsidRPr="00133039">
        <w:rPr>
          <w:rFonts w:ascii="Arial" w:hAnsi="Arial" w:cs="Arial"/>
          <w:sz w:val="20"/>
          <w:szCs w:val="20"/>
          <w:lang w:val="es-ES"/>
        </w:rPr>
        <w:t xml:space="preserve">responsabilidades </w:t>
      </w:r>
      <w:r w:rsidR="008E4063" w:rsidRPr="00133039">
        <w:rPr>
          <w:rFonts w:ascii="Arial" w:hAnsi="Arial" w:cs="Arial"/>
          <w:sz w:val="20"/>
          <w:szCs w:val="20"/>
          <w:lang w:val="es-ES"/>
        </w:rPr>
        <w:t>de</w:t>
      </w:r>
      <w:r w:rsidR="00511764" w:rsidRPr="00133039">
        <w:rPr>
          <w:rFonts w:ascii="Arial" w:hAnsi="Arial" w:cs="Arial"/>
          <w:sz w:val="20"/>
          <w:szCs w:val="20"/>
          <w:lang w:val="es-ES"/>
        </w:rPr>
        <w:t>l</w:t>
      </w:r>
      <w:r w:rsidR="008E4063" w:rsidRPr="00133039">
        <w:rPr>
          <w:rFonts w:ascii="Arial" w:hAnsi="Arial" w:cs="Arial"/>
          <w:sz w:val="20"/>
          <w:szCs w:val="20"/>
          <w:lang w:val="es-ES"/>
        </w:rPr>
        <w:t xml:space="preserve"> registro de comercio </w:t>
      </w:r>
      <w:r w:rsidRPr="00133039">
        <w:rPr>
          <w:rFonts w:ascii="Arial" w:hAnsi="Arial" w:cs="Arial"/>
          <w:sz w:val="20"/>
          <w:szCs w:val="20"/>
          <w:lang w:val="es-ES"/>
        </w:rPr>
        <w:t>de</w:t>
      </w:r>
      <w:r w:rsidR="008E4063" w:rsidRPr="00133039">
        <w:rPr>
          <w:rFonts w:ascii="Arial" w:hAnsi="Arial" w:cs="Arial"/>
          <w:sz w:val="20"/>
          <w:szCs w:val="20"/>
          <w:lang w:val="es-ES"/>
        </w:rPr>
        <w:t xml:space="preserve"> los tribunales de justicia a la administración civil, redujo a la mitad el tiempo necesario para </w:t>
      </w:r>
      <w:r w:rsidR="0031211E">
        <w:rPr>
          <w:rFonts w:ascii="Arial" w:hAnsi="Arial" w:cs="Arial"/>
          <w:sz w:val="20"/>
          <w:szCs w:val="20"/>
          <w:lang w:val="es-ES"/>
        </w:rPr>
        <w:t>transferir  propiedades</w:t>
      </w:r>
      <w:r w:rsidR="008E4063" w:rsidRPr="00133039">
        <w:rPr>
          <w:rFonts w:ascii="Arial" w:hAnsi="Arial" w:cs="Arial"/>
          <w:sz w:val="20"/>
          <w:szCs w:val="20"/>
          <w:lang w:val="es-ES"/>
        </w:rPr>
        <w:t xml:space="preserve">, y mejoró la administración </w:t>
      </w:r>
      <w:r w:rsidRPr="00133039">
        <w:rPr>
          <w:rFonts w:ascii="Arial" w:hAnsi="Arial" w:cs="Arial"/>
          <w:sz w:val="20"/>
          <w:szCs w:val="20"/>
          <w:lang w:val="es-ES"/>
        </w:rPr>
        <w:t>aduanera</w:t>
      </w:r>
      <w:r w:rsidR="008E4063" w:rsidRPr="00133039">
        <w:rPr>
          <w:rFonts w:ascii="Arial" w:hAnsi="Arial" w:cs="Arial"/>
          <w:sz w:val="20"/>
          <w:szCs w:val="20"/>
          <w:lang w:val="es-ES"/>
        </w:rPr>
        <w:t>.</w:t>
      </w:r>
    </w:p>
    <w:p w:rsidR="008E4063" w:rsidRPr="00133039" w:rsidRDefault="008E4063" w:rsidP="001330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E4063" w:rsidRPr="00133039" w:rsidRDefault="008E4063" w:rsidP="001330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133039">
        <w:rPr>
          <w:rFonts w:ascii="Arial" w:hAnsi="Arial" w:cs="Arial"/>
          <w:sz w:val="20"/>
          <w:szCs w:val="20"/>
          <w:lang w:val="es-ES"/>
        </w:rPr>
        <w:t xml:space="preserve">En otra </w:t>
      </w:r>
      <w:r w:rsidR="005F2663" w:rsidRPr="00133039">
        <w:rPr>
          <w:rFonts w:ascii="Arial" w:hAnsi="Arial" w:cs="Arial"/>
          <w:sz w:val="20"/>
          <w:szCs w:val="20"/>
          <w:lang w:val="es-ES"/>
        </w:rPr>
        <w:t xml:space="preserve">zona </w:t>
      </w:r>
      <w:r w:rsidRPr="00133039">
        <w:rPr>
          <w:rFonts w:ascii="Arial" w:hAnsi="Arial" w:cs="Arial"/>
          <w:sz w:val="20"/>
          <w:szCs w:val="20"/>
          <w:lang w:val="es-ES"/>
        </w:rPr>
        <w:t>del Caribe, Jamaica facil</w:t>
      </w:r>
      <w:r w:rsidR="00133039" w:rsidRPr="00133039">
        <w:rPr>
          <w:rFonts w:ascii="Arial" w:hAnsi="Arial" w:cs="Arial"/>
          <w:sz w:val="20"/>
          <w:szCs w:val="20"/>
          <w:lang w:val="es-ES"/>
        </w:rPr>
        <w:t>itó las tra</w:t>
      </w:r>
      <w:r w:rsidR="0031211E">
        <w:rPr>
          <w:rFonts w:ascii="Arial" w:hAnsi="Arial" w:cs="Arial"/>
          <w:sz w:val="20"/>
          <w:szCs w:val="20"/>
          <w:lang w:val="es-ES"/>
        </w:rPr>
        <w:t>nsferencias de propiedades r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educiendo los impuestos y </w:t>
      </w:r>
      <w:r w:rsidR="0031211E">
        <w:rPr>
          <w:rFonts w:ascii="Arial" w:hAnsi="Arial" w:cs="Arial"/>
          <w:sz w:val="20"/>
          <w:szCs w:val="20"/>
          <w:lang w:val="es-ES"/>
        </w:rPr>
        <w:t>tarifas</w:t>
      </w:r>
      <w:r w:rsidR="0031211E" w:rsidRPr="00133039">
        <w:rPr>
          <w:rFonts w:ascii="Arial" w:hAnsi="Arial" w:cs="Arial"/>
          <w:sz w:val="20"/>
          <w:szCs w:val="20"/>
          <w:lang w:val="es-ES"/>
        </w:rPr>
        <w:t xml:space="preserve"> </w:t>
      </w:r>
      <w:r w:rsidRPr="00133039">
        <w:rPr>
          <w:rFonts w:ascii="Arial" w:hAnsi="Arial" w:cs="Arial"/>
          <w:sz w:val="20"/>
          <w:szCs w:val="20"/>
          <w:lang w:val="es-ES"/>
        </w:rPr>
        <w:t>de es</w:t>
      </w:r>
      <w:r w:rsidR="00487A60">
        <w:rPr>
          <w:rFonts w:ascii="Arial" w:hAnsi="Arial" w:cs="Arial"/>
          <w:sz w:val="20"/>
          <w:szCs w:val="20"/>
          <w:lang w:val="es-ES"/>
        </w:rPr>
        <w:t>t</w:t>
      </w:r>
      <w:r w:rsidRPr="00133039">
        <w:rPr>
          <w:rFonts w:ascii="Arial" w:hAnsi="Arial" w:cs="Arial"/>
          <w:sz w:val="20"/>
          <w:szCs w:val="20"/>
          <w:lang w:val="es-ES"/>
        </w:rPr>
        <w:t>as operaciones</w:t>
      </w:r>
      <w:r w:rsidR="0031211E">
        <w:rPr>
          <w:rFonts w:ascii="Arial" w:hAnsi="Arial" w:cs="Arial"/>
          <w:sz w:val="20"/>
          <w:szCs w:val="20"/>
          <w:lang w:val="es-ES"/>
        </w:rPr>
        <w:t>. Las autoridades también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</w:t>
      </w:r>
      <w:r w:rsidR="00487A60">
        <w:rPr>
          <w:rFonts w:ascii="Arial" w:hAnsi="Arial" w:cs="Arial"/>
          <w:sz w:val="20"/>
          <w:szCs w:val="20"/>
          <w:lang w:val="es-ES"/>
        </w:rPr>
        <w:t>implementaron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procedimientos agilizados y p</w:t>
      </w:r>
      <w:r w:rsidR="0031211E">
        <w:rPr>
          <w:rFonts w:ascii="Arial" w:hAnsi="Arial" w:cs="Arial"/>
          <w:sz w:val="20"/>
          <w:szCs w:val="20"/>
          <w:lang w:val="es-ES"/>
        </w:rPr>
        <w:t>usieron en marcha un sistema en línea para obtener i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nformación del registro de </w:t>
      </w:r>
      <w:r w:rsidR="001C05A1" w:rsidRPr="00133039">
        <w:rPr>
          <w:rFonts w:ascii="Arial" w:hAnsi="Arial" w:cs="Arial"/>
          <w:sz w:val="20"/>
          <w:szCs w:val="20"/>
          <w:lang w:val="es-ES"/>
        </w:rPr>
        <w:t>sociedades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. Haití facilitó la </w:t>
      </w:r>
      <w:r w:rsidR="0031211E">
        <w:rPr>
          <w:rFonts w:ascii="Arial" w:hAnsi="Arial" w:cs="Arial"/>
          <w:sz w:val="20"/>
          <w:szCs w:val="20"/>
          <w:lang w:val="es-ES"/>
        </w:rPr>
        <w:t>creación</w:t>
      </w:r>
      <w:r w:rsidR="0031211E" w:rsidRPr="00133039">
        <w:rPr>
          <w:rFonts w:ascii="Arial" w:hAnsi="Arial" w:cs="Arial"/>
          <w:sz w:val="20"/>
          <w:szCs w:val="20"/>
          <w:lang w:val="es-ES"/>
        </w:rPr>
        <w:t xml:space="preserve"> </w:t>
      </w:r>
      <w:r w:rsidRPr="00133039">
        <w:rPr>
          <w:rFonts w:ascii="Arial" w:hAnsi="Arial" w:cs="Arial"/>
          <w:sz w:val="20"/>
          <w:szCs w:val="20"/>
          <w:lang w:val="es-ES"/>
        </w:rPr>
        <w:t>de empresas eliminando el requisito de revisión de la ley de constitución de empresas por</w:t>
      </w:r>
      <w:r w:rsidR="0031211E">
        <w:rPr>
          <w:rFonts w:ascii="Arial" w:hAnsi="Arial" w:cs="Arial"/>
          <w:sz w:val="20"/>
          <w:szCs w:val="20"/>
          <w:lang w:val="es-ES"/>
        </w:rPr>
        <w:t xml:space="preserve"> parte de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la</w:t>
      </w:r>
      <w:r w:rsidR="005F2663" w:rsidRPr="00133039">
        <w:rPr>
          <w:rFonts w:ascii="Arial" w:hAnsi="Arial" w:cs="Arial"/>
          <w:sz w:val="20"/>
          <w:szCs w:val="20"/>
          <w:lang w:val="es-ES"/>
        </w:rPr>
        <w:t xml:space="preserve"> oficina del Presidente o el Primer Ministro</w:t>
      </w:r>
      <w:r w:rsidRPr="00133039">
        <w:rPr>
          <w:rFonts w:ascii="Arial" w:hAnsi="Arial" w:cs="Arial"/>
          <w:sz w:val="20"/>
          <w:szCs w:val="20"/>
          <w:lang w:val="es-ES"/>
        </w:rPr>
        <w:t>.</w:t>
      </w:r>
    </w:p>
    <w:p w:rsidR="0020704A" w:rsidRPr="00133039" w:rsidRDefault="0020704A" w:rsidP="001330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20704A" w:rsidRPr="00133039" w:rsidRDefault="0020704A" w:rsidP="001330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133039">
        <w:rPr>
          <w:rFonts w:ascii="Arial" w:hAnsi="Arial" w:cs="Arial"/>
          <w:sz w:val="20"/>
          <w:szCs w:val="20"/>
          <w:lang w:val="es-ES"/>
        </w:rPr>
        <w:t xml:space="preserve">Gobiernos de 117 economías del mundo llevaron a cabo 216 reformas en materia de regulación de negocios encaminadas a facilitar </w:t>
      </w:r>
      <w:r w:rsidR="0031211E">
        <w:rPr>
          <w:rFonts w:ascii="Arial" w:hAnsi="Arial" w:cs="Arial"/>
          <w:sz w:val="20"/>
          <w:szCs w:val="20"/>
          <w:lang w:val="es-ES"/>
        </w:rPr>
        <w:t>la creación de una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empresa y llevar a cabo operaciones de comercio internacional, fortalecer la transparencia y los derechos de propiedad y </w:t>
      </w:r>
      <w:r w:rsidR="00A848AA" w:rsidRPr="00133039">
        <w:rPr>
          <w:rFonts w:ascii="Arial" w:hAnsi="Arial" w:cs="Arial"/>
          <w:sz w:val="20"/>
          <w:szCs w:val="20"/>
          <w:lang w:val="es-ES"/>
        </w:rPr>
        <w:t>hacer más eficientes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los procedimientos de resolución de diferencias comerciales y de quiebra</w:t>
      </w:r>
      <w:r w:rsidR="0031211E">
        <w:rPr>
          <w:rFonts w:ascii="Arial" w:hAnsi="Arial" w:cs="Arial"/>
          <w:sz w:val="20"/>
          <w:szCs w:val="20"/>
          <w:lang w:val="es-ES"/>
        </w:rPr>
        <w:t>s</w:t>
      </w:r>
      <w:r w:rsidRPr="00133039">
        <w:rPr>
          <w:rFonts w:ascii="Arial" w:hAnsi="Arial" w:cs="Arial"/>
          <w:sz w:val="20"/>
          <w:szCs w:val="20"/>
          <w:lang w:val="es-ES"/>
        </w:rPr>
        <w:t>.</w:t>
      </w:r>
    </w:p>
    <w:p w:rsidR="008E4063" w:rsidRPr="00133039" w:rsidRDefault="008E4063" w:rsidP="001330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E4063" w:rsidRPr="00133039" w:rsidRDefault="008E4063" w:rsidP="00133039">
      <w:pPr>
        <w:autoSpaceDE w:val="0"/>
        <w:autoSpaceDN w:val="0"/>
        <w:adjustRightInd w:val="0"/>
        <w:jc w:val="both"/>
        <w:rPr>
          <w:rFonts w:ascii="Arial" w:hAnsi="Arial"/>
          <w:sz w:val="20"/>
          <w:lang w:val="es-ES"/>
        </w:rPr>
      </w:pPr>
      <w:r w:rsidRPr="00133039">
        <w:rPr>
          <w:rFonts w:ascii="Arial" w:hAnsi="Arial" w:cs="Arial"/>
          <w:sz w:val="20"/>
          <w:szCs w:val="20"/>
          <w:lang w:val="es-ES"/>
        </w:rPr>
        <w:t xml:space="preserve">A </w:t>
      </w:r>
      <w:r w:rsidR="001C05A1" w:rsidRPr="00133039">
        <w:rPr>
          <w:rFonts w:ascii="Arial" w:hAnsi="Arial" w:cs="Arial"/>
          <w:sz w:val="20"/>
          <w:szCs w:val="20"/>
          <w:lang w:val="es-ES"/>
        </w:rPr>
        <w:t>escala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mundial, </w:t>
      </w:r>
      <w:r w:rsidR="00693977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el más alto grado de facilidad para hacer negocios con que cuentan los empresarios locales 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se da en las economías de alto ingreso de la </w:t>
      </w:r>
      <w:r w:rsidR="001C05A1" w:rsidRPr="00133039">
        <w:rPr>
          <w:rFonts w:ascii="Arial" w:hAnsi="Arial" w:cs="Arial"/>
          <w:sz w:val="20"/>
          <w:szCs w:val="20"/>
          <w:lang w:val="es-ES"/>
        </w:rPr>
        <w:t>Organización</w:t>
      </w:r>
      <w:r w:rsidR="00133039" w:rsidRPr="00133039">
        <w:rPr>
          <w:rFonts w:ascii="Arial" w:hAnsi="Arial" w:cs="Arial"/>
          <w:sz w:val="20"/>
          <w:szCs w:val="20"/>
          <w:lang w:val="es-ES"/>
        </w:rPr>
        <w:t xml:space="preserve"> para la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Cooperación y </w:t>
      </w:r>
      <w:r w:rsidR="00133039" w:rsidRPr="00133039">
        <w:rPr>
          <w:rFonts w:ascii="Arial" w:hAnsi="Arial" w:cs="Arial"/>
          <w:sz w:val="20"/>
          <w:szCs w:val="20"/>
          <w:lang w:val="es-ES"/>
        </w:rPr>
        <w:t xml:space="preserve">el </w:t>
      </w:r>
      <w:r w:rsidRPr="00133039">
        <w:rPr>
          <w:rFonts w:ascii="Arial" w:hAnsi="Arial" w:cs="Arial"/>
          <w:sz w:val="20"/>
          <w:szCs w:val="20"/>
          <w:lang w:val="es-ES"/>
        </w:rPr>
        <w:t>Desarrollo Económicos. No obst</w:t>
      </w:r>
      <w:r w:rsidR="009A543E" w:rsidRPr="00133039">
        <w:rPr>
          <w:rFonts w:ascii="Arial" w:hAnsi="Arial" w:cs="Arial"/>
          <w:sz w:val="20"/>
          <w:szCs w:val="20"/>
          <w:lang w:val="es-ES"/>
        </w:rPr>
        <w:t>ante, en los últimos cinco años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las condiciones se han visto facilitadas en alrededor del 85% de las economías del mundo, </w:t>
      </w:r>
      <w:r w:rsidR="0031211E">
        <w:rPr>
          <w:rFonts w:ascii="Arial" w:hAnsi="Arial" w:cs="Arial"/>
          <w:sz w:val="20"/>
          <w:szCs w:val="20"/>
          <w:lang w:val="es-ES"/>
        </w:rPr>
        <w:t xml:space="preserve">gracias a 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1</w:t>
      </w:r>
      <w:r w:rsidR="0031211E">
        <w:rPr>
          <w:rFonts w:ascii="Arial" w:hAnsi="Arial" w:cs="Arial"/>
          <w:sz w:val="20"/>
          <w:szCs w:val="20"/>
          <w:lang w:val="es-ES"/>
        </w:rPr>
        <w:t>.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511 mejoras </w:t>
      </w:r>
      <w:r w:rsidR="0031211E">
        <w:rPr>
          <w:rFonts w:ascii="Arial" w:hAnsi="Arial" w:cs="Arial"/>
          <w:sz w:val="20"/>
          <w:szCs w:val="20"/>
          <w:lang w:val="es-ES"/>
        </w:rPr>
        <w:t>implementadas en las regulaciones empresariales</w:t>
      </w:r>
      <w:proofErr w:type="gramStart"/>
      <w:r w:rsidR="0031211E">
        <w:rPr>
          <w:rFonts w:ascii="Arial" w:hAnsi="Arial" w:cs="Arial"/>
          <w:sz w:val="20"/>
          <w:szCs w:val="20"/>
          <w:lang w:val="es-ES"/>
        </w:rPr>
        <w:t>.</w:t>
      </w:r>
      <w:r w:rsidRPr="00133039">
        <w:rPr>
          <w:rFonts w:ascii="Arial" w:hAnsi="Arial" w:cs="Arial"/>
          <w:sz w:val="20"/>
          <w:szCs w:val="20"/>
          <w:lang w:val="es-ES"/>
        </w:rPr>
        <w:t>.</w:t>
      </w:r>
      <w:proofErr w:type="gramEnd"/>
      <w:r w:rsidRPr="00133039">
        <w:rPr>
          <w:rFonts w:ascii="Arial" w:hAnsi="Arial" w:cs="Arial"/>
          <w:sz w:val="20"/>
          <w:szCs w:val="20"/>
          <w:lang w:val="es-ES"/>
        </w:rPr>
        <w:t xml:space="preserve"> Para </w:t>
      </w:r>
      <w:r w:rsidR="001C05A1" w:rsidRPr="00133039">
        <w:rPr>
          <w:rFonts w:ascii="Arial" w:hAnsi="Arial" w:cs="Arial"/>
          <w:sz w:val="20"/>
          <w:szCs w:val="20"/>
          <w:lang w:val="es-ES"/>
        </w:rPr>
        <w:t>ilustrar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las mejoras </w:t>
      </w:r>
      <w:r w:rsidR="001C05A1" w:rsidRPr="00133039">
        <w:rPr>
          <w:rFonts w:ascii="Arial" w:hAnsi="Arial" w:cs="Arial"/>
          <w:sz w:val="20"/>
          <w:szCs w:val="20"/>
          <w:lang w:val="es-ES"/>
        </w:rPr>
        <w:t>acumulativas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, en </w:t>
      </w:r>
      <w:proofErr w:type="spellStart"/>
      <w:r w:rsidR="001950C9" w:rsidRPr="00133039">
        <w:rPr>
          <w:rFonts w:ascii="Arial" w:hAnsi="Arial"/>
          <w:i/>
          <w:sz w:val="20"/>
          <w:lang w:val="es-ES"/>
        </w:rPr>
        <w:t>Doing</w:t>
      </w:r>
      <w:proofErr w:type="spellEnd"/>
      <w:r w:rsidR="001950C9" w:rsidRPr="00133039">
        <w:rPr>
          <w:rFonts w:ascii="Arial" w:hAnsi="Arial"/>
          <w:i/>
          <w:sz w:val="20"/>
          <w:lang w:val="es-ES"/>
        </w:rPr>
        <w:t xml:space="preserve"> Business</w:t>
      </w:r>
      <w:r w:rsidR="001950C9" w:rsidRPr="00133039">
        <w:rPr>
          <w:rFonts w:ascii="Arial" w:hAnsi="Arial"/>
          <w:sz w:val="20"/>
          <w:lang w:val="es-ES"/>
        </w:rPr>
        <w:t xml:space="preserve"> </w:t>
      </w:r>
      <w:r w:rsidR="001950C9" w:rsidRPr="00133039">
        <w:rPr>
          <w:rFonts w:ascii="Arial" w:hAnsi="Arial"/>
          <w:i/>
          <w:sz w:val="20"/>
          <w:lang w:val="es-ES"/>
        </w:rPr>
        <w:t>2011</w:t>
      </w:r>
      <w:r w:rsidR="001950C9" w:rsidRPr="00133039">
        <w:rPr>
          <w:rFonts w:ascii="Arial" w:hAnsi="Arial"/>
          <w:sz w:val="20"/>
          <w:lang w:val="es-ES"/>
        </w:rPr>
        <w:t xml:space="preserve"> </w:t>
      </w:r>
      <w:r w:rsidR="0031211E" w:rsidRPr="00116024">
        <w:rPr>
          <w:rFonts w:ascii="Arial" w:hAnsi="Arial"/>
          <w:sz w:val="20"/>
          <w:lang w:val="es-ES_tradnl"/>
        </w:rPr>
        <w:t>se</w:t>
      </w:r>
      <w:r w:rsidR="0031211E">
        <w:rPr>
          <w:rFonts w:ascii="Arial" w:hAnsi="Arial"/>
          <w:sz w:val="20"/>
          <w:lang w:val="es-ES_tradnl"/>
        </w:rPr>
        <w:t xml:space="preserve"> introdujo una medición adicional</w:t>
      </w:r>
      <w:r w:rsidR="0031211E" w:rsidRPr="00116024">
        <w:rPr>
          <w:rFonts w:ascii="Arial" w:hAnsi="Arial"/>
          <w:sz w:val="20"/>
          <w:lang w:val="es-ES_tradnl"/>
        </w:rPr>
        <w:t xml:space="preserve"> </w:t>
      </w:r>
      <w:r w:rsidR="0031211E">
        <w:rPr>
          <w:rFonts w:ascii="Arial" w:hAnsi="Arial"/>
          <w:sz w:val="20"/>
          <w:lang w:val="es-ES_tradnl"/>
        </w:rPr>
        <w:t xml:space="preserve">que calcula </w:t>
      </w:r>
      <w:r w:rsidR="0031211E" w:rsidRPr="00116024">
        <w:rPr>
          <w:rFonts w:ascii="Arial" w:hAnsi="Arial"/>
          <w:sz w:val="20"/>
          <w:lang w:val="es-ES_tradnl"/>
        </w:rPr>
        <w:t>la magnitud de</w:t>
      </w:r>
      <w:r w:rsidR="0031211E">
        <w:rPr>
          <w:rFonts w:ascii="Arial" w:hAnsi="Arial"/>
          <w:sz w:val="20"/>
          <w:lang w:val="es-ES_tradnl"/>
        </w:rPr>
        <w:t xml:space="preserve"> </w:t>
      </w:r>
      <w:r w:rsidR="0031211E" w:rsidRPr="00116024">
        <w:rPr>
          <w:rFonts w:ascii="Arial" w:hAnsi="Arial"/>
          <w:sz w:val="20"/>
          <w:lang w:val="es-ES_tradnl"/>
        </w:rPr>
        <w:t>l</w:t>
      </w:r>
      <w:r w:rsidR="0031211E">
        <w:rPr>
          <w:rFonts w:ascii="Arial" w:hAnsi="Arial"/>
          <w:sz w:val="20"/>
          <w:lang w:val="es-ES_tradnl"/>
        </w:rPr>
        <w:t>os</w:t>
      </w:r>
      <w:r w:rsidR="0031211E" w:rsidRPr="00116024">
        <w:rPr>
          <w:rFonts w:ascii="Arial" w:hAnsi="Arial"/>
          <w:sz w:val="20"/>
          <w:lang w:val="es-ES_tradnl"/>
        </w:rPr>
        <w:t xml:space="preserve"> cambio</w:t>
      </w:r>
      <w:r w:rsidR="0031211E">
        <w:rPr>
          <w:rFonts w:ascii="Arial" w:hAnsi="Arial"/>
          <w:sz w:val="20"/>
          <w:lang w:val="es-ES_tradnl"/>
        </w:rPr>
        <w:t>s</w:t>
      </w:r>
      <w:r w:rsidR="0031211E" w:rsidRPr="00116024">
        <w:rPr>
          <w:rFonts w:ascii="Arial" w:hAnsi="Arial"/>
          <w:sz w:val="20"/>
          <w:lang w:val="es-ES_tradnl"/>
        </w:rPr>
        <w:t xml:space="preserve"> </w:t>
      </w:r>
      <w:r w:rsidR="0031211E">
        <w:rPr>
          <w:rFonts w:ascii="Arial" w:hAnsi="Arial"/>
          <w:sz w:val="20"/>
          <w:lang w:val="es-ES_tradnl"/>
        </w:rPr>
        <w:t>realizados desde</w:t>
      </w:r>
      <w:r w:rsidR="0031211E" w:rsidRPr="00116024">
        <w:rPr>
          <w:rFonts w:ascii="Arial" w:hAnsi="Arial"/>
          <w:sz w:val="20"/>
          <w:lang w:val="es-ES_tradnl"/>
        </w:rPr>
        <w:t xml:space="preserve"> </w:t>
      </w:r>
      <w:r w:rsidR="00820F56" w:rsidRPr="00133039">
        <w:rPr>
          <w:rFonts w:ascii="Arial" w:hAnsi="Arial"/>
          <w:sz w:val="20"/>
          <w:lang w:val="es-ES"/>
        </w:rPr>
        <w:t>2005 en 174 economías.</w:t>
      </w:r>
    </w:p>
    <w:p w:rsidR="00820F56" w:rsidRPr="00133039" w:rsidRDefault="00820F56" w:rsidP="00133039">
      <w:pPr>
        <w:autoSpaceDE w:val="0"/>
        <w:autoSpaceDN w:val="0"/>
        <w:adjustRightInd w:val="0"/>
        <w:jc w:val="both"/>
        <w:rPr>
          <w:rFonts w:ascii="Arial" w:hAnsi="Arial"/>
          <w:sz w:val="20"/>
          <w:lang w:val="es-ES"/>
        </w:rPr>
      </w:pPr>
    </w:p>
    <w:p w:rsidR="00820F56" w:rsidRPr="00133039" w:rsidRDefault="00820F56" w:rsidP="00133039">
      <w:pPr>
        <w:autoSpaceDE w:val="0"/>
        <w:autoSpaceDN w:val="0"/>
        <w:adjustRightInd w:val="0"/>
        <w:jc w:val="both"/>
        <w:rPr>
          <w:rFonts w:ascii="Arial" w:hAnsi="Arial"/>
          <w:sz w:val="20"/>
          <w:lang w:val="es-ES"/>
        </w:rPr>
      </w:pPr>
      <w:r w:rsidRPr="00133039">
        <w:rPr>
          <w:rFonts w:ascii="Arial" w:hAnsi="Arial"/>
          <w:sz w:val="20"/>
          <w:lang w:val="es-ES"/>
        </w:rPr>
        <w:t xml:space="preserve">Entre las 40 economías que más han </w:t>
      </w:r>
      <w:r w:rsidR="0031211E">
        <w:rPr>
          <w:rFonts w:ascii="Arial" w:hAnsi="Arial"/>
          <w:sz w:val="20"/>
          <w:lang w:val="es-ES"/>
        </w:rPr>
        <w:t>avanzado</w:t>
      </w:r>
      <w:r w:rsidRPr="00133039">
        <w:rPr>
          <w:rFonts w:ascii="Arial" w:hAnsi="Arial"/>
          <w:sz w:val="20"/>
          <w:lang w:val="es-ES"/>
        </w:rPr>
        <w:t xml:space="preserve"> en los últimos cinco años</w:t>
      </w:r>
      <w:r w:rsidR="0031211E">
        <w:rPr>
          <w:rFonts w:ascii="Arial" w:hAnsi="Arial"/>
          <w:sz w:val="20"/>
          <w:lang w:val="es-ES"/>
        </w:rPr>
        <w:t xml:space="preserve"> en esta </w:t>
      </w:r>
      <w:r w:rsidR="00256064">
        <w:rPr>
          <w:rFonts w:ascii="Arial" w:hAnsi="Arial"/>
          <w:sz w:val="20"/>
          <w:lang w:val="es-ES"/>
        </w:rPr>
        <w:t xml:space="preserve">medición </w:t>
      </w:r>
      <w:r w:rsidRPr="00133039">
        <w:rPr>
          <w:rFonts w:ascii="Arial" w:hAnsi="Arial"/>
          <w:sz w:val="20"/>
          <w:lang w:val="es-ES"/>
        </w:rPr>
        <w:t>figuran China, la República Árabe de Egipto, Nigeria e India, países que reúnen, en conjunto, más del 40% de la población mundial. Colombia y Perú figuraron también entre l</w:t>
      </w:r>
      <w:r w:rsidR="00256064">
        <w:rPr>
          <w:rFonts w:ascii="Arial" w:hAnsi="Arial"/>
          <w:sz w:val="20"/>
          <w:lang w:val="es-ES"/>
        </w:rPr>
        <w:t>a</w:t>
      </w:r>
      <w:r w:rsidRPr="00133039">
        <w:rPr>
          <w:rFonts w:ascii="Arial" w:hAnsi="Arial"/>
          <w:sz w:val="20"/>
          <w:lang w:val="es-ES"/>
        </w:rPr>
        <w:t xml:space="preserve">s </w:t>
      </w:r>
      <w:r w:rsidR="00256064">
        <w:rPr>
          <w:rFonts w:ascii="Arial" w:hAnsi="Arial"/>
          <w:sz w:val="20"/>
          <w:lang w:val="es-ES"/>
        </w:rPr>
        <w:t xml:space="preserve">economías que más han hecho por mejorar sus sistemas de regulación empresarial. </w:t>
      </w:r>
    </w:p>
    <w:p w:rsidR="00B14886" w:rsidRPr="00133039" w:rsidRDefault="00B14886" w:rsidP="00133039">
      <w:pPr>
        <w:autoSpaceDE w:val="0"/>
        <w:autoSpaceDN w:val="0"/>
        <w:adjustRightInd w:val="0"/>
        <w:jc w:val="both"/>
        <w:rPr>
          <w:rFonts w:ascii="Arial" w:hAnsi="Arial"/>
          <w:sz w:val="20"/>
          <w:lang w:val="es-ES"/>
        </w:rPr>
      </w:pPr>
    </w:p>
    <w:p w:rsidR="00820F56" w:rsidRDefault="00820F56" w:rsidP="0013303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ES"/>
        </w:rPr>
      </w:pP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“Los gobiernos del Caribe, como los de otras </w:t>
      </w:r>
      <w:r w:rsidR="001C05A1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regiones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, han venido </w:t>
      </w:r>
      <w:r w:rsidR="001C05A1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acelerando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el pro</w:t>
      </w:r>
      <w:r w:rsidR="00971FA6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ceso de mejoramiento de su entor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no de negocios para </w:t>
      </w:r>
      <w:r w:rsidR="00256064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fortalecer y brindarle más oportunidades a 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los empresarios locales”, expresó Sylvia </w:t>
      </w:r>
      <w:proofErr w:type="spellStart"/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Solf</w:t>
      </w:r>
      <w:proofErr w:type="spellEnd"/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, autora principal del informe. “Pequeños estados </w:t>
      </w:r>
      <w:r w:rsidR="001C05A1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insulares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, como </w:t>
      </w:r>
      <w:r w:rsidR="001C05A1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Granada</w:t>
      </w:r>
      <w:r w:rsidR="00103049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, Ca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bo</w:t>
      </w:r>
      <w:r w:rsidR="00103049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Verde </w:t>
      </w:r>
      <w:r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y </w:t>
      </w:r>
      <w:r w:rsidR="00103049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Brunei Darussalam</w:t>
      </w:r>
      <w:r w:rsidR="009A543E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,</w:t>
      </w:r>
      <w:r w:rsidR="001950C9" w:rsidRPr="00133039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</w:t>
      </w:r>
      <w:r w:rsidR="00103049" w:rsidRPr="00133039">
        <w:rPr>
          <w:rFonts w:ascii="Arial" w:hAnsi="Arial" w:cs="Arial"/>
          <w:sz w:val="20"/>
          <w:szCs w:val="20"/>
          <w:lang w:val="es-ES"/>
        </w:rPr>
        <w:t>ha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n venido prestando atención a la calidad de la </w:t>
      </w:r>
      <w:r w:rsidR="001C05A1" w:rsidRPr="00133039">
        <w:rPr>
          <w:rFonts w:ascii="Arial" w:hAnsi="Arial" w:cs="Arial"/>
          <w:sz w:val="20"/>
          <w:szCs w:val="20"/>
          <w:lang w:val="es-ES"/>
        </w:rPr>
        <w:t>regulación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de negocios para hacer más competitivas a sus economías y </w:t>
      </w:r>
      <w:r w:rsidR="00296F09" w:rsidRPr="00133039">
        <w:rPr>
          <w:rFonts w:ascii="Arial" w:hAnsi="Arial" w:cs="Arial"/>
          <w:sz w:val="20"/>
          <w:szCs w:val="20"/>
          <w:lang w:val="es-ES"/>
        </w:rPr>
        <w:t>respaldar</w:t>
      </w:r>
      <w:r w:rsidRPr="00133039">
        <w:rPr>
          <w:rFonts w:ascii="Arial" w:hAnsi="Arial" w:cs="Arial"/>
          <w:sz w:val="20"/>
          <w:szCs w:val="20"/>
          <w:lang w:val="es-ES"/>
        </w:rPr>
        <w:t xml:space="preserve"> una mayor creación de empleo por parte de las empresas locales”.</w:t>
      </w:r>
    </w:p>
    <w:p w:rsidR="00256064" w:rsidRDefault="00256064" w:rsidP="0013303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ES"/>
        </w:rPr>
      </w:pPr>
    </w:p>
    <w:p w:rsidR="00256064" w:rsidRPr="00F64726" w:rsidRDefault="00256064" w:rsidP="00256064">
      <w:pPr>
        <w:rPr>
          <w:rFonts w:ascii="Arial" w:hAnsi="Arial" w:cs="Arial"/>
          <w:bCs/>
          <w:sz w:val="20"/>
          <w:szCs w:val="20"/>
          <w:lang w:val="es-ES"/>
        </w:rPr>
      </w:pPr>
      <w:r w:rsidRPr="00F64726">
        <w:rPr>
          <w:rFonts w:ascii="Arial" w:hAnsi="Arial"/>
          <w:b/>
          <w:sz w:val="20"/>
          <w:lang w:val="es-ES"/>
        </w:rPr>
        <w:t>Acerca de la serie de informes</w:t>
      </w:r>
      <w:r w:rsidRPr="00F64726">
        <w:rPr>
          <w:rFonts w:ascii="Arial" w:hAnsi="Arial"/>
          <w:sz w:val="20"/>
          <w:lang w:val="es-ES"/>
        </w:rPr>
        <w:t xml:space="preserve"> </w:t>
      </w:r>
      <w:proofErr w:type="spellStart"/>
      <w:r w:rsidRPr="00FF714E"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>Doing</w:t>
      </w:r>
      <w:proofErr w:type="spellEnd"/>
      <w:r w:rsidRPr="00FF714E"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 xml:space="preserve"> Business</w:t>
      </w:r>
      <w:r w:rsidRPr="00F64726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</w:p>
    <w:p w:rsidR="00256064" w:rsidRPr="00133039" w:rsidRDefault="00256064" w:rsidP="00256064">
      <w:pPr>
        <w:jc w:val="both"/>
        <w:rPr>
          <w:rFonts w:ascii="Arial" w:hAnsi="Arial" w:cs="Arial"/>
          <w:lang w:val="es-ES"/>
        </w:rPr>
      </w:pPr>
      <w:r w:rsidRPr="00133039">
        <w:rPr>
          <w:rFonts w:ascii="Arial" w:hAnsi="Arial" w:cs="Arial"/>
          <w:sz w:val="20"/>
          <w:szCs w:val="20"/>
          <w:lang w:val="es-ES"/>
        </w:rPr>
        <w:t xml:space="preserve">En </w:t>
      </w:r>
      <w:proofErr w:type="spellStart"/>
      <w:r w:rsidRPr="00133039">
        <w:rPr>
          <w:rFonts w:ascii="Arial" w:hAnsi="Arial" w:cs="Arial"/>
          <w:bCs/>
          <w:i/>
          <w:sz w:val="20"/>
          <w:szCs w:val="20"/>
          <w:lang w:val="es-ES"/>
        </w:rPr>
        <w:t>Doing</w:t>
      </w:r>
      <w:proofErr w:type="spellEnd"/>
      <w:r w:rsidRPr="00133039">
        <w:rPr>
          <w:rFonts w:ascii="Arial" w:hAnsi="Arial" w:cs="Arial"/>
          <w:bCs/>
          <w:i/>
          <w:sz w:val="20"/>
          <w:szCs w:val="20"/>
          <w:lang w:val="es-ES"/>
        </w:rPr>
        <w:t xml:space="preserve"> Business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se analizan l</w:t>
      </w:r>
      <w:r>
        <w:rPr>
          <w:rFonts w:ascii="Arial" w:hAnsi="Arial" w:cs="Arial"/>
          <w:bCs/>
          <w:sz w:val="20"/>
          <w:szCs w:val="20"/>
          <w:lang w:val="es-ES"/>
        </w:rPr>
        <w:t>a</w:t>
      </w:r>
      <w:r w:rsidRPr="00133039">
        <w:rPr>
          <w:rFonts w:ascii="Arial" w:hAnsi="Arial" w:cs="Arial"/>
          <w:bCs/>
          <w:sz w:val="20"/>
          <w:szCs w:val="20"/>
          <w:lang w:val="es-ES"/>
        </w:rPr>
        <w:t>s reg</w:t>
      </w:r>
      <w:r>
        <w:rPr>
          <w:rFonts w:ascii="Arial" w:hAnsi="Arial" w:cs="Arial"/>
          <w:bCs/>
          <w:sz w:val="20"/>
          <w:szCs w:val="20"/>
          <w:lang w:val="es-ES"/>
        </w:rPr>
        <w:t>u</w:t>
      </w:r>
      <w:r w:rsidRPr="00133039">
        <w:rPr>
          <w:rFonts w:ascii="Arial" w:hAnsi="Arial" w:cs="Arial"/>
          <w:bCs/>
          <w:sz w:val="20"/>
          <w:szCs w:val="20"/>
          <w:lang w:val="es-ES"/>
        </w:rPr>
        <w:t>la</w:t>
      </w:r>
      <w:r>
        <w:rPr>
          <w:rFonts w:ascii="Arial" w:hAnsi="Arial" w:cs="Arial"/>
          <w:bCs/>
          <w:sz w:val="20"/>
          <w:szCs w:val="20"/>
          <w:lang w:val="es-ES"/>
        </w:rPr>
        <w:t>ciones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que se aplican a las empresas de una economía durante su ciclo </w:t>
      </w:r>
      <w:r>
        <w:rPr>
          <w:rFonts w:ascii="Arial" w:hAnsi="Arial" w:cs="Arial"/>
          <w:bCs/>
          <w:sz w:val="20"/>
          <w:szCs w:val="20"/>
          <w:lang w:val="es-ES"/>
        </w:rPr>
        <w:t>de vida</w:t>
      </w:r>
      <w:r w:rsidRPr="00133039">
        <w:rPr>
          <w:rFonts w:ascii="Arial" w:hAnsi="Arial" w:cs="Arial"/>
          <w:bCs/>
          <w:sz w:val="20"/>
          <w:szCs w:val="20"/>
          <w:lang w:val="es-ES"/>
        </w:rPr>
        <w:t>, inclu</w:t>
      </w:r>
      <w:r>
        <w:rPr>
          <w:rFonts w:ascii="Arial" w:hAnsi="Arial" w:cs="Arial"/>
          <w:bCs/>
          <w:sz w:val="20"/>
          <w:szCs w:val="20"/>
          <w:lang w:val="es-ES"/>
        </w:rPr>
        <w:t>yendo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"/>
        </w:rPr>
        <w:t>su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"/>
        </w:rPr>
        <w:t>creación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y </w:t>
      </w:r>
      <w:r>
        <w:rPr>
          <w:rFonts w:ascii="Arial" w:hAnsi="Arial" w:cs="Arial"/>
          <w:bCs/>
          <w:sz w:val="20"/>
          <w:szCs w:val="20"/>
          <w:lang w:val="es-ES"/>
        </w:rPr>
        <w:t>el manejo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opera</w:t>
      </w:r>
      <w:r>
        <w:rPr>
          <w:rFonts w:ascii="Arial" w:hAnsi="Arial" w:cs="Arial"/>
          <w:bCs/>
          <w:sz w:val="20"/>
          <w:szCs w:val="20"/>
          <w:lang w:val="es-ES"/>
        </w:rPr>
        <w:t>tivo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, el comercio transfronterizo, el pago de impuestos y el </w:t>
      </w:r>
      <w:r>
        <w:rPr>
          <w:rFonts w:ascii="Arial" w:hAnsi="Arial" w:cs="Arial"/>
          <w:bCs/>
          <w:sz w:val="20"/>
          <w:szCs w:val="20"/>
          <w:lang w:val="es-ES"/>
        </w:rPr>
        <w:t>manejo de los procesos de quiebra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. En el informe no se miden todos los aspectos del entorno de negocios que </w:t>
      </w:r>
      <w:r>
        <w:rPr>
          <w:rFonts w:ascii="Arial" w:hAnsi="Arial" w:cs="Arial"/>
          <w:bCs/>
          <w:sz w:val="20"/>
          <w:szCs w:val="20"/>
          <w:lang w:val="es-ES"/>
        </w:rPr>
        <w:t>impactan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a las empresas y a los inversionistas. Por ejemplo, no se mide la seguridad, la estabilidad macroeconómica, la corrupción, el nivel de especialización ni la solidez de los sistemas financieros. </w:t>
      </w:r>
      <w:r>
        <w:rPr>
          <w:rFonts w:ascii="Arial" w:hAnsi="Arial" w:cs="Arial"/>
          <w:bCs/>
          <w:sz w:val="20"/>
          <w:szCs w:val="20"/>
          <w:lang w:val="es-ES"/>
        </w:rPr>
        <w:t>Las conclusiones del reporte han generado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debates sobre políticas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públicas 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en más de 80 economías y han hecho posible la elaboración de un creciente </w:t>
      </w:r>
      <w:r>
        <w:rPr>
          <w:rFonts w:ascii="Arial" w:hAnsi="Arial" w:cs="Arial"/>
          <w:bCs/>
          <w:sz w:val="20"/>
          <w:szCs w:val="20"/>
          <w:lang w:val="es-ES"/>
        </w:rPr>
        <w:t>número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de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trabajos de investigación</w:t>
      </w:r>
      <w:r w:rsidRPr="00133039">
        <w:rPr>
          <w:rFonts w:ascii="Arial" w:hAnsi="Arial" w:cs="Arial"/>
          <w:bCs/>
          <w:sz w:val="20"/>
          <w:szCs w:val="20"/>
          <w:lang w:val="es-ES"/>
        </w:rPr>
        <w:t xml:space="preserve"> sobre la relación entre regulación a nivel de empresas y resultados económicos </w:t>
      </w:r>
      <w:r>
        <w:rPr>
          <w:rFonts w:ascii="Arial" w:hAnsi="Arial" w:cs="Arial"/>
          <w:bCs/>
          <w:sz w:val="20"/>
          <w:szCs w:val="20"/>
          <w:lang w:val="es-ES"/>
        </w:rPr>
        <w:t>alrededor del mundo</w:t>
      </w:r>
      <w:r w:rsidRPr="00133039">
        <w:rPr>
          <w:rFonts w:ascii="Arial" w:hAnsi="Arial" w:cs="Arial"/>
          <w:bCs/>
          <w:sz w:val="20"/>
          <w:szCs w:val="20"/>
          <w:lang w:val="es-ES"/>
        </w:rPr>
        <w:t>.</w:t>
      </w:r>
      <w:r w:rsidRPr="00960B6A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Para obtener información adicional sobre la serie de informes </w:t>
      </w:r>
      <w:proofErr w:type="spellStart"/>
      <w:r w:rsidRPr="00133039">
        <w:rPr>
          <w:rFonts w:ascii="Arial" w:hAnsi="Arial" w:cs="Arial"/>
          <w:i/>
          <w:color w:val="000000"/>
          <w:sz w:val="20"/>
          <w:szCs w:val="20"/>
          <w:lang w:val="es-ES"/>
        </w:rPr>
        <w:t>Doing</w:t>
      </w:r>
      <w:proofErr w:type="spellEnd"/>
      <w:r w:rsidRPr="00133039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Business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>,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v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>isi</w:t>
      </w:r>
      <w:r>
        <w:rPr>
          <w:rFonts w:ascii="Arial" w:hAnsi="Arial" w:cs="Arial"/>
          <w:color w:val="000000"/>
          <w:sz w:val="20"/>
          <w:szCs w:val="20"/>
          <w:lang w:val="es-ES"/>
        </w:rPr>
        <w:t>te el sitio web: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www.doingbusiness.org</w:t>
      </w:r>
      <w:r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184CFA" w:rsidRPr="00133039" w:rsidRDefault="00184CFA" w:rsidP="001330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84CFA" w:rsidRPr="00133039" w:rsidRDefault="00184CFA" w:rsidP="001330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13303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</w:t>
      </w:r>
      <w:r w:rsidR="00820F56" w:rsidRPr="0013303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cerca del Grupo del Banco Mundial</w:t>
      </w:r>
    </w:p>
    <w:p w:rsidR="00184CFA" w:rsidRPr="00133039" w:rsidRDefault="00820F56" w:rsidP="00133039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El Grupo del 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Banco Mundial es una de las </w:t>
      </w:r>
      <w:r w:rsidR="001C05A1" w:rsidRPr="00133039">
        <w:rPr>
          <w:rFonts w:ascii="Arial" w:hAnsi="Arial" w:cs="Arial"/>
          <w:color w:val="000000"/>
          <w:sz w:val="20"/>
          <w:szCs w:val="20"/>
          <w:lang w:val="es-ES"/>
        </w:rPr>
        <w:t>mayores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fuentes mundiales de financiamiento y </w:t>
      </w:r>
      <w:r w:rsidR="001C05A1" w:rsidRPr="00133039">
        <w:rPr>
          <w:rFonts w:ascii="Arial" w:hAnsi="Arial" w:cs="Arial"/>
          <w:color w:val="000000"/>
          <w:sz w:val="20"/>
          <w:szCs w:val="20"/>
          <w:lang w:val="es-ES"/>
        </w:rPr>
        <w:t>conocimientos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para países en desarrollo. Está formado por cinco instituciones estrechamente relacionadas: el Banco Internacional de Re</w:t>
      </w:r>
      <w:r w:rsidR="00133039" w:rsidRPr="00133039">
        <w:rPr>
          <w:rFonts w:ascii="Arial" w:hAnsi="Arial" w:cs="Arial"/>
          <w:color w:val="000000"/>
          <w:sz w:val="20"/>
          <w:szCs w:val="20"/>
          <w:lang w:val="es-ES"/>
        </w:rPr>
        <w:t>construcción y Fomento (</w:t>
      </w:r>
      <w:proofErr w:type="spellStart"/>
      <w:r w:rsidR="00133039" w:rsidRPr="00133039">
        <w:rPr>
          <w:rFonts w:ascii="Arial" w:hAnsi="Arial" w:cs="Arial"/>
          <w:color w:val="000000"/>
          <w:sz w:val="20"/>
          <w:szCs w:val="20"/>
          <w:lang w:val="es-ES"/>
        </w:rPr>
        <w:t>BIRF</w:t>
      </w:r>
      <w:proofErr w:type="spellEnd"/>
      <w:r w:rsidR="00133039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>la Asociación Internacional de Fomento (</w:t>
      </w:r>
      <w:proofErr w:type="spellStart"/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>AIF</w:t>
      </w:r>
      <w:proofErr w:type="spellEnd"/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>), la Corporación</w:t>
      </w:r>
      <w:r w:rsidR="001C05A1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Financiera Internacional (</w:t>
      </w:r>
      <w:proofErr w:type="spellStart"/>
      <w:r w:rsidR="001C05A1" w:rsidRPr="00133039">
        <w:rPr>
          <w:rFonts w:ascii="Arial" w:hAnsi="Arial" w:cs="Arial"/>
          <w:color w:val="000000"/>
          <w:sz w:val="20"/>
          <w:szCs w:val="20"/>
          <w:lang w:val="es-ES"/>
        </w:rPr>
        <w:t>IFC</w:t>
      </w:r>
      <w:proofErr w:type="spellEnd"/>
      <w:r w:rsidR="001C05A1" w:rsidRPr="00133039">
        <w:rPr>
          <w:rFonts w:ascii="Arial" w:hAnsi="Arial" w:cs="Arial"/>
          <w:color w:val="000000"/>
          <w:sz w:val="20"/>
          <w:szCs w:val="20"/>
          <w:lang w:val="es-ES"/>
        </w:rPr>
        <w:t>),</w:t>
      </w:r>
      <w:r w:rsidR="00CB3EDF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el Organismo Internacional de Garantía de Inversiones (MIGA) y el Centro Internacional de Arreglo de Diferencias </w:t>
      </w:r>
      <w:r w:rsidR="00126352" w:rsidRPr="00133039">
        <w:rPr>
          <w:rFonts w:ascii="Arial" w:hAnsi="Arial" w:cs="Arial"/>
          <w:color w:val="000000"/>
          <w:sz w:val="20"/>
          <w:szCs w:val="20"/>
          <w:lang w:val="es-ES"/>
        </w:rPr>
        <w:t>Re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>lativas a Inversiones (</w:t>
      </w:r>
      <w:proofErr w:type="spellStart"/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>CIADI</w:t>
      </w:r>
      <w:proofErr w:type="spellEnd"/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>). Cada una</w:t>
      </w:r>
      <w:r w:rsidR="00133039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>de esas instituciones cumple un papel</w:t>
      </w:r>
      <w:r w:rsidR="0055002E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bien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definido en la misión de </w:t>
      </w:r>
      <w:r w:rsidR="00971FA6" w:rsidRPr="00133039">
        <w:rPr>
          <w:rFonts w:ascii="Arial" w:hAnsi="Arial" w:cs="Arial"/>
          <w:color w:val="000000"/>
          <w:sz w:val="20"/>
          <w:szCs w:val="20"/>
          <w:lang w:val="es-ES"/>
        </w:rPr>
        <w:t>combatir la pobreza y mejorar las condiciones de vida de la población del mundo en desarrollo.</w:t>
      </w:r>
      <w:r w:rsidR="00BB4C23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256064" w:rsidRPr="00116024">
        <w:rPr>
          <w:rFonts w:ascii="Arial" w:hAnsi="Arial" w:cs="Arial"/>
          <w:color w:val="000000"/>
          <w:sz w:val="20"/>
          <w:szCs w:val="20"/>
          <w:lang w:val="es-ES_tradnl"/>
        </w:rPr>
        <w:t>Para obtener información adicional</w:t>
      </w:r>
      <w:r w:rsidR="00256064">
        <w:rPr>
          <w:rFonts w:ascii="Arial" w:hAnsi="Arial" w:cs="Arial"/>
          <w:color w:val="000000"/>
          <w:sz w:val="20"/>
          <w:szCs w:val="20"/>
          <w:lang w:val="es-ES_tradnl"/>
        </w:rPr>
        <w:t>,</w:t>
      </w:r>
      <w:r w:rsidR="00256064" w:rsidRPr="0011602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256064">
        <w:rPr>
          <w:rFonts w:ascii="Arial" w:hAnsi="Arial" w:cs="Arial"/>
          <w:color w:val="000000"/>
          <w:sz w:val="20"/>
          <w:szCs w:val="20"/>
          <w:lang w:val="es-ES_tradnl"/>
        </w:rPr>
        <w:t>visite los siguientes sitios web:</w:t>
      </w:r>
      <w:r w:rsidR="00235800"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www.worldbank.org, www.miga.org y </w:t>
      </w:r>
      <w:hyperlink r:id="rId6" w:history="1">
        <w:r w:rsidR="00235800" w:rsidRPr="00133039">
          <w:rPr>
            <w:rStyle w:val="Hyperlink"/>
            <w:rFonts w:ascii="Arial" w:hAnsi="Arial" w:cs="Arial"/>
            <w:sz w:val="20"/>
            <w:szCs w:val="20"/>
            <w:lang w:val="es-ES"/>
          </w:rPr>
          <w:t>www.ifc.org</w:t>
        </w:r>
      </w:hyperlink>
      <w:r w:rsidR="00235800" w:rsidRPr="00133039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184CFA" w:rsidRPr="00133039" w:rsidRDefault="00184CFA" w:rsidP="00133039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49079F" w:rsidRPr="00133039" w:rsidRDefault="00BB4C23" w:rsidP="00133039">
      <w:pPr>
        <w:spacing w:after="24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33039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Para obtener </w:t>
      </w:r>
      <w:r w:rsidR="001C05A1" w:rsidRPr="00133039">
        <w:rPr>
          <w:rFonts w:ascii="Arial" w:hAnsi="Arial" w:cs="Arial"/>
          <w:b/>
          <w:color w:val="000000"/>
          <w:sz w:val="20"/>
          <w:szCs w:val="20"/>
          <w:lang w:val="es-ES"/>
        </w:rPr>
        <w:t>información</w:t>
      </w:r>
      <w:r w:rsidRPr="00133039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adicional</w:t>
      </w:r>
      <w:r w:rsidR="008674FA" w:rsidRPr="00133039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relativa a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49079F" w:rsidRPr="00133039">
        <w:rPr>
          <w:rFonts w:ascii="Arial" w:hAnsi="Arial" w:cs="Arial"/>
          <w:b/>
          <w:i/>
          <w:sz w:val="20"/>
          <w:szCs w:val="20"/>
          <w:lang w:val="es-ES"/>
        </w:rPr>
        <w:t>Doing</w:t>
      </w:r>
      <w:proofErr w:type="spellEnd"/>
      <w:r w:rsidR="0049079F" w:rsidRPr="00133039">
        <w:rPr>
          <w:rFonts w:ascii="Arial" w:hAnsi="Arial" w:cs="Arial"/>
          <w:b/>
          <w:i/>
          <w:sz w:val="20"/>
          <w:szCs w:val="20"/>
          <w:lang w:val="es-ES"/>
        </w:rPr>
        <w:t xml:space="preserve"> Business 201</w:t>
      </w:r>
      <w:r w:rsidR="00381A9D" w:rsidRPr="00133039">
        <w:rPr>
          <w:rFonts w:ascii="Arial" w:hAnsi="Arial" w:cs="Arial"/>
          <w:b/>
          <w:i/>
          <w:sz w:val="20"/>
          <w:szCs w:val="20"/>
          <w:lang w:val="es-ES"/>
        </w:rPr>
        <w:t>1</w:t>
      </w:r>
      <w:r w:rsidRPr="00133039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1C05A1" w:rsidRPr="00133039">
        <w:rPr>
          <w:rFonts w:ascii="Arial" w:hAnsi="Arial" w:cs="Arial"/>
          <w:b/>
          <w:sz w:val="20"/>
          <w:szCs w:val="20"/>
          <w:lang w:val="es-ES"/>
        </w:rPr>
        <w:t>sírvase</w:t>
      </w:r>
      <w:r w:rsidRPr="00133039">
        <w:rPr>
          <w:rFonts w:ascii="Arial" w:hAnsi="Arial" w:cs="Arial"/>
          <w:b/>
          <w:sz w:val="20"/>
          <w:szCs w:val="20"/>
          <w:lang w:val="es-ES"/>
        </w:rPr>
        <w:t xml:space="preserve"> comunicarse con</w:t>
      </w:r>
    </w:p>
    <w:p w:rsidR="0049079F" w:rsidRPr="00133039" w:rsidRDefault="0049079F" w:rsidP="0013303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133039">
        <w:rPr>
          <w:rFonts w:ascii="Arial" w:hAnsi="Arial" w:cs="Arial"/>
          <w:color w:val="000000"/>
          <w:sz w:val="20"/>
          <w:szCs w:val="20"/>
          <w:lang w:val="es-ES"/>
        </w:rPr>
        <w:t>Nadine</w:t>
      </w:r>
      <w:proofErr w:type="spellEnd"/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33039">
        <w:rPr>
          <w:rFonts w:ascii="Arial" w:hAnsi="Arial" w:cs="Arial"/>
          <w:color w:val="000000"/>
          <w:sz w:val="20"/>
          <w:szCs w:val="20"/>
          <w:lang w:val="es-ES"/>
        </w:rPr>
        <w:t>Ghannam</w:t>
      </w:r>
      <w:proofErr w:type="spellEnd"/>
      <w:r w:rsidRPr="00133039">
        <w:rPr>
          <w:rFonts w:ascii="Arial" w:hAnsi="Arial" w:cs="Arial"/>
          <w:color w:val="000000"/>
          <w:sz w:val="20"/>
          <w:szCs w:val="20"/>
          <w:lang w:val="es-ES"/>
        </w:rPr>
        <w:t xml:space="preserve"> +1 (202) 473-3011</w:t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</w:p>
    <w:p w:rsidR="0049079F" w:rsidRPr="00133039" w:rsidRDefault="00702BF9" w:rsidP="0013303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133039">
        <w:rPr>
          <w:rFonts w:ascii="Arial" w:hAnsi="Arial" w:cs="Arial"/>
          <w:color w:val="000000"/>
          <w:sz w:val="20"/>
          <w:szCs w:val="20"/>
          <w:lang w:val="es-ES"/>
        </w:rPr>
        <w:t>Correo electrónico</w:t>
      </w:r>
      <w:r w:rsidR="0049079F" w:rsidRPr="00133039">
        <w:rPr>
          <w:rFonts w:ascii="Arial" w:hAnsi="Arial" w:cs="Arial"/>
          <w:color w:val="000000"/>
          <w:sz w:val="20"/>
          <w:szCs w:val="20"/>
          <w:lang w:val="es-ES"/>
        </w:rPr>
        <w:t>: nsghannam@ifc.org</w:t>
      </w:r>
      <w:r w:rsidR="0049079F"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49079F"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49079F"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49079F" w:rsidRPr="00133039">
        <w:rPr>
          <w:rFonts w:ascii="Arial" w:hAnsi="Arial" w:cs="Arial"/>
          <w:color w:val="000000"/>
          <w:sz w:val="20"/>
          <w:szCs w:val="20"/>
          <w:lang w:val="es-ES"/>
        </w:rPr>
        <w:tab/>
      </w:r>
    </w:p>
    <w:p w:rsidR="006961F9" w:rsidRPr="00133039" w:rsidRDefault="006961F9" w:rsidP="0013303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p w:rsidR="006961F9" w:rsidRPr="00133039" w:rsidRDefault="00702BF9" w:rsidP="0013303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133039">
        <w:rPr>
          <w:rFonts w:ascii="Arial" w:hAnsi="Arial" w:cs="Arial"/>
          <w:b/>
          <w:bCs/>
          <w:sz w:val="20"/>
          <w:szCs w:val="20"/>
          <w:lang w:val="es-ES"/>
        </w:rPr>
        <w:t xml:space="preserve">Personas de contacto para </w:t>
      </w:r>
      <w:r w:rsidR="001C05A1" w:rsidRPr="00133039">
        <w:rPr>
          <w:rFonts w:ascii="Arial" w:hAnsi="Arial" w:cs="Arial"/>
          <w:b/>
          <w:bCs/>
          <w:sz w:val="20"/>
          <w:szCs w:val="20"/>
          <w:lang w:val="es-ES"/>
        </w:rPr>
        <w:t>preguntas</w:t>
      </w:r>
      <w:r w:rsidR="008674FA" w:rsidRPr="00133039">
        <w:rPr>
          <w:rFonts w:ascii="Arial" w:hAnsi="Arial" w:cs="Arial"/>
          <w:b/>
          <w:bCs/>
          <w:sz w:val="20"/>
          <w:szCs w:val="20"/>
          <w:lang w:val="es-ES"/>
        </w:rPr>
        <w:t xml:space="preserve"> de</w:t>
      </w:r>
      <w:r w:rsidRPr="00133039">
        <w:rPr>
          <w:rFonts w:ascii="Arial" w:hAnsi="Arial" w:cs="Arial"/>
          <w:b/>
          <w:bCs/>
          <w:sz w:val="20"/>
          <w:szCs w:val="20"/>
          <w:lang w:val="es-ES"/>
        </w:rPr>
        <w:t xml:space="preserve"> regiones </w:t>
      </w:r>
      <w:r w:rsidR="008674FA" w:rsidRPr="00133039">
        <w:rPr>
          <w:rFonts w:ascii="Arial" w:hAnsi="Arial" w:cs="Arial"/>
          <w:b/>
          <w:bCs/>
          <w:sz w:val="20"/>
          <w:szCs w:val="20"/>
          <w:lang w:val="es-ES"/>
        </w:rPr>
        <w:t>específicas relativas a</w:t>
      </w:r>
      <w:r w:rsidR="006961F9" w:rsidRPr="0013303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="006961F9" w:rsidRPr="0013303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Doing</w:t>
      </w:r>
      <w:proofErr w:type="spellEnd"/>
      <w:r w:rsidR="006961F9" w:rsidRPr="0013303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Business 201</w:t>
      </w:r>
      <w:r w:rsidR="00381A9D" w:rsidRPr="0013303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1</w:t>
      </w:r>
      <w:r w:rsidR="006961F9" w:rsidRPr="00133039">
        <w:rPr>
          <w:rFonts w:ascii="Arial" w:hAnsi="Arial" w:cs="Arial"/>
          <w:b/>
          <w:bCs/>
          <w:i/>
          <w:sz w:val="20"/>
          <w:szCs w:val="20"/>
          <w:lang w:val="es-ES"/>
        </w:rPr>
        <w:t>:</w:t>
      </w:r>
    </w:p>
    <w:p w:rsidR="006961F9" w:rsidRPr="00133039" w:rsidRDefault="006961F9" w:rsidP="0013303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02BF9" w:rsidRPr="00133039" w:rsidRDefault="00702BF9" w:rsidP="00D8602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s-ES"/>
        </w:rPr>
      </w:pPr>
      <w:r w:rsidRPr="00133039">
        <w:rPr>
          <w:rFonts w:ascii="Arial" w:hAnsi="Arial" w:cs="Arial"/>
          <w:b/>
          <w:bCs/>
          <w:sz w:val="20"/>
          <w:szCs w:val="20"/>
          <w:lang w:val="es-ES"/>
        </w:rPr>
        <w:t>América Latina y el Caribe</w:t>
      </w:r>
      <w:r w:rsidR="006961F9" w:rsidRPr="00133039">
        <w:rPr>
          <w:rFonts w:ascii="Arial" w:hAnsi="Arial" w:cs="Arial"/>
          <w:b/>
          <w:bCs/>
          <w:sz w:val="20"/>
          <w:szCs w:val="20"/>
          <w:lang w:val="es-ES"/>
        </w:rPr>
        <w:br/>
      </w:r>
      <w:r w:rsidR="006961F9" w:rsidRPr="00133039">
        <w:rPr>
          <w:rFonts w:ascii="Arial" w:hAnsi="Arial" w:cs="Arial"/>
          <w:sz w:val="20"/>
          <w:szCs w:val="20"/>
          <w:lang w:val="es-ES"/>
        </w:rPr>
        <w:t>Adriana G</w:t>
      </w:r>
      <w:r w:rsidRPr="00133039">
        <w:rPr>
          <w:rFonts w:ascii="Arial" w:hAnsi="Arial" w:cs="Arial"/>
          <w:sz w:val="20"/>
          <w:szCs w:val="20"/>
          <w:lang w:val="es-ES"/>
        </w:rPr>
        <w:t>ó</w:t>
      </w:r>
      <w:r w:rsidR="006961F9" w:rsidRPr="00133039">
        <w:rPr>
          <w:rFonts w:ascii="Arial" w:hAnsi="Arial" w:cs="Arial"/>
          <w:sz w:val="20"/>
          <w:szCs w:val="20"/>
          <w:lang w:val="es-ES"/>
        </w:rPr>
        <w:t xml:space="preserve">mez +1 (202) 458-5204 </w:t>
      </w:r>
      <w:r w:rsidR="006961F9" w:rsidRPr="00133039">
        <w:rPr>
          <w:rFonts w:ascii="Arial" w:hAnsi="Arial" w:cs="Arial"/>
          <w:sz w:val="20"/>
          <w:szCs w:val="20"/>
          <w:lang w:val="es-ES"/>
        </w:rPr>
        <w:tab/>
      </w:r>
      <w:r w:rsidR="006961F9" w:rsidRPr="00133039">
        <w:rPr>
          <w:rFonts w:ascii="Arial" w:hAnsi="Arial" w:cs="Arial"/>
          <w:sz w:val="20"/>
          <w:szCs w:val="20"/>
          <w:lang w:val="es-ES"/>
        </w:rPr>
        <w:tab/>
      </w:r>
      <w:r w:rsidR="006961F9" w:rsidRPr="00133039">
        <w:rPr>
          <w:rFonts w:ascii="Arial" w:hAnsi="Arial" w:cs="Arial"/>
          <w:sz w:val="20"/>
          <w:szCs w:val="20"/>
          <w:lang w:val="es-ES"/>
        </w:rPr>
        <w:tab/>
        <w:t>Gabriela Aguilar +</w:t>
      </w:r>
      <w:r w:rsidR="006961F9" w:rsidRPr="00133039">
        <w:rPr>
          <w:rFonts w:ascii="Arial" w:hAnsi="Arial" w:cs="Arial"/>
          <w:color w:val="000000"/>
          <w:sz w:val="20"/>
          <w:szCs w:val="20"/>
          <w:lang w:val="es-ES"/>
        </w:rPr>
        <w:t>1 (202) 473-6768</w:t>
      </w:r>
      <w:r w:rsidR="006961F9" w:rsidRPr="00133039">
        <w:rPr>
          <w:rFonts w:ascii="Arial" w:hAnsi="Arial" w:cs="Arial"/>
          <w:sz w:val="20"/>
          <w:szCs w:val="20"/>
          <w:lang w:val="es-ES"/>
        </w:rPr>
        <w:br/>
      </w:r>
      <w:r w:rsidRPr="00133039">
        <w:rPr>
          <w:rFonts w:ascii="Arial" w:hAnsi="Arial" w:cs="Arial"/>
          <w:sz w:val="20"/>
          <w:szCs w:val="20"/>
          <w:lang w:val="es-ES"/>
        </w:rPr>
        <w:t>Correo electrónico</w:t>
      </w:r>
      <w:r w:rsidR="006961F9" w:rsidRPr="00133039">
        <w:rPr>
          <w:rFonts w:ascii="Arial" w:hAnsi="Arial" w:cs="Arial"/>
          <w:sz w:val="20"/>
          <w:szCs w:val="20"/>
          <w:lang w:val="es-ES"/>
        </w:rPr>
        <w:t>: agomez@ifc.org</w:t>
      </w:r>
      <w:r w:rsidR="006961F9" w:rsidRPr="00133039">
        <w:rPr>
          <w:rFonts w:ascii="Arial" w:hAnsi="Arial" w:cs="Arial"/>
          <w:sz w:val="20"/>
          <w:szCs w:val="20"/>
          <w:lang w:val="es-ES"/>
        </w:rPr>
        <w:tab/>
      </w:r>
      <w:r w:rsidR="006961F9" w:rsidRPr="00133039">
        <w:rPr>
          <w:rFonts w:ascii="Arial" w:hAnsi="Arial" w:cs="Arial"/>
          <w:sz w:val="20"/>
          <w:szCs w:val="20"/>
          <w:lang w:val="es-ES"/>
        </w:rPr>
        <w:tab/>
      </w:r>
      <w:r w:rsidR="006961F9" w:rsidRPr="00133039">
        <w:rPr>
          <w:rFonts w:ascii="Arial" w:hAnsi="Arial" w:cs="Arial"/>
          <w:sz w:val="20"/>
          <w:szCs w:val="20"/>
          <w:lang w:val="es-ES"/>
        </w:rPr>
        <w:tab/>
      </w:r>
      <w:r w:rsidRPr="00133039">
        <w:rPr>
          <w:rFonts w:ascii="Arial" w:hAnsi="Arial" w:cs="Arial"/>
          <w:sz w:val="20"/>
          <w:szCs w:val="20"/>
          <w:lang w:val="es-ES"/>
        </w:rPr>
        <w:t>Correo electrónico</w:t>
      </w:r>
      <w:r w:rsidR="006961F9" w:rsidRPr="00133039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7" w:history="1">
        <w:r w:rsidRPr="00133039">
          <w:rPr>
            <w:rStyle w:val="Hyperlink"/>
            <w:rFonts w:ascii="Arial" w:hAnsi="Arial" w:cs="Arial"/>
            <w:sz w:val="20"/>
            <w:szCs w:val="20"/>
            <w:lang w:val="es-ES"/>
          </w:rPr>
          <w:t>gaguilar2@worldbank.org</w:t>
        </w:r>
      </w:hyperlink>
    </w:p>
    <w:p w:rsidR="006961F9" w:rsidRPr="00133039" w:rsidRDefault="006961F9" w:rsidP="0013303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es-ES"/>
        </w:rPr>
      </w:pPr>
    </w:p>
    <w:sectPr w:rsidR="006961F9" w:rsidRPr="00133039" w:rsidSect="007010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trackRevisions/>
  <w:defaultTabStop w:val="720"/>
  <w:hyphenationZone w:val="425"/>
  <w:characterSpacingControl w:val="doNotCompress"/>
  <w:compat/>
  <w:rsids>
    <w:rsidRoot w:val="00A57385"/>
    <w:rsid w:val="00010456"/>
    <w:rsid w:val="00024195"/>
    <w:rsid w:val="0003527C"/>
    <w:rsid w:val="00044BBE"/>
    <w:rsid w:val="0006243F"/>
    <w:rsid w:val="000853D5"/>
    <w:rsid w:val="000A4427"/>
    <w:rsid w:val="000B15B6"/>
    <w:rsid w:val="000F67BF"/>
    <w:rsid w:val="00103049"/>
    <w:rsid w:val="00126352"/>
    <w:rsid w:val="00133039"/>
    <w:rsid w:val="00135A4A"/>
    <w:rsid w:val="00152EA5"/>
    <w:rsid w:val="00172678"/>
    <w:rsid w:val="00177F40"/>
    <w:rsid w:val="00182279"/>
    <w:rsid w:val="00184CFA"/>
    <w:rsid w:val="001950C9"/>
    <w:rsid w:val="001C05A1"/>
    <w:rsid w:val="001C109B"/>
    <w:rsid w:val="001E22CF"/>
    <w:rsid w:val="001E55C2"/>
    <w:rsid w:val="002037C1"/>
    <w:rsid w:val="0020704A"/>
    <w:rsid w:val="00213065"/>
    <w:rsid w:val="00216EA8"/>
    <w:rsid w:val="00235800"/>
    <w:rsid w:val="00235C60"/>
    <w:rsid w:val="00246876"/>
    <w:rsid w:val="00256064"/>
    <w:rsid w:val="00265CA7"/>
    <w:rsid w:val="00266A4B"/>
    <w:rsid w:val="0029177A"/>
    <w:rsid w:val="00296F09"/>
    <w:rsid w:val="002A17F3"/>
    <w:rsid w:val="002B473B"/>
    <w:rsid w:val="002C41B4"/>
    <w:rsid w:val="002C618C"/>
    <w:rsid w:val="002D362C"/>
    <w:rsid w:val="002E1C17"/>
    <w:rsid w:val="0031211E"/>
    <w:rsid w:val="00323401"/>
    <w:rsid w:val="0034348B"/>
    <w:rsid w:val="00365368"/>
    <w:rsid w:val="00370927"/>
    <w:rsid w:val="003756E5"/>
    <w:rsid w:val="00381A9D"/>
    <w:rsid w:val="00396C85"/>
    <w:rsid w:val="00443240"/>
    <w:rsid w:val="004505D7"/>
    <w:rsid w:val="00451D24"/>
    <w:rsid w:val="00452608"/>
    <w:rsid w:val="004777F0"/>
    <w:rsid w:val="00486312"/>
    <w:rsid w:val="00487A60"/>
    <w:rsid w:val="0049079F"/>
    <w:rsid w:val="004926CD"/>
    <w:rsid w:val="004A0107"/>
    <w:rsid w:val="004B44A1"/>
    <w:rsid w:val="004C430B"/>
    <w:rsid w:val="004C718B"/>
    <w:rsid w:val="004D11F4"/>
    <w:rsid w:val="004E2CF2"/>
    <w:rsid w:val="00511764"/>
    <w:rsid w:val="00524EC4"/>
    <w:rsid w:val="00542D51"/>
    <w:rsid w:val="005450B6"/>
    <w:rsid w:val="0055002E"/>
    <w:rsid w:val="0055719F"/>
    <w:rsid w:val="00567735"/>
    <w:rsid w:val="00590E96"/>
    <w:rsid w:val="005D2F2E"/>
    <w:rsid w:val="005E2F95"/>
    <w:rsid w:val="005F2663"/>
    <w:rsid w:val="0060286A"/>
    <w:rsid w:val="00614620"/>
    <w:rsid w:val="00625989"/>
    <w:rsid w:val="00634C21"/>
    <w:rsid w:val="00643B34"/>
    <w:rsid w:val="006523EE"/>
    <w:rsid w:val="00676D1C"/>
    <w:rsid w:val="00693977"/>
    <w:rsid w:val="006961F9"/>
    <w:rsid w:val="006B6A46"/>
    <w:rsid w:val="006C316A"/>
    <w:rsid w:val="006F369C"/>
    <w:rsid w:val="007010C1"/>
    <w:rsid w:val="00702BF9"/>
    <w:rsid w:val="00702D28"/>
    <w:rsid w:val="00732724"/>
    <w:rsid w:val="007441CB"/>
    <w:rsid w:val="00747404"/>
    <w:rsid w:val="00767DB9"/>
    <w:rsid w:val="00783F60"/>
    <w:rsid w:val="00784F9E"/>
    <w:rsid w:val="007A0E58"/>
    <w:rsid w:val="007C5523"/>
    <w:rsid w:val="007D2A7D"/>
    <w:rsid w:val="007E19EC"/>
    <w:rsid w:val="007F0B1D"/>
    <w:rsid w:val="0081044F"/>
    <w:rsid w:val="008106BC"/>
    <w:rsid w:val="00820F56"/>
    <w:rsid w:val="0084584E"/>
    <w:rsid w:val="008639EF"/>
    <w:rsid w:val="008674FA"/>
    <w:rsid w:val="008757E3"/>
    <w:rsid w:val="008C005C"/>
    <w:rsid w:val="008E4063"/>
    <w:rsid w:val="008E6F45"/>
    <w:rsid w:val="00901E94"/>
    <w:rsid w:val="00932D26"/>
    <w:rsid w:val="00943238"/>
    <w:rsid w:val="00971FA6"/>
    <w:rsid w:val="00974B51"/>
    <w:rsid w:val="009813B8"/>
    <w:rsid w:val="009A543E"/>
    <w:rsid w:val="009A5DF2"/>
    <w:rsid w:val="009E1559"/>
    <w:rsid w:val="009F08A8"/>
    <w:rsid w:val="00A036F7"/>
    <w:rsid w:val="00A2365C"/>
    <w:rsid w:val="00A57385"/>
    <w:rsid w:val="00A848AA"/>
    <w:rsid w:val="00A85672"/>
    <w:rsid w:val="00AC7404"/>
    <w:rsid w:val="00AE53DE"/>
    <w:rsid w:val="00B14886"/>
    <w:rsid w:val="00B1571F"/>
    <w:rsid w:val="00B27016"/>
    <w:rsid w:val="00B36559"/>
    <w:rsid w:val="00B44C2B"/>
    <w:rsid w:val="00B4512F"/>
    <w:rsid w:val="00B60819"/>
    <w:rsid w:val="00B7116C"/>
    <w:rsid w:val="00B769A6"/>
    <w:rsid w:val="00BA36C4"/>
    <w:rsid w:val="00BB24A1"/>
    <w:rsid w:val="00BB4C23"/>
    <w:rsid w:val="00BB7359"/>
    <w:rsid w:val="00BC51D6"/>
    <w:rsid w:val="00BE7CB0"/>
    <w:rsid w:val="00BF4118"/>
    <w:rsid w:val="00BF56EB"/>
    <w:rsid w:val="00C82150"/>
    <w:rsid w:val="00C935E3"/>
    <w:rsid w:val="00CA31A6"/>
    <w:rsid w:val="00CA5E12"/>
    <w:rsid w:val="00CB3EDF"/>
    <w:rsid w:val="00CC427E"/>
    <w:rsid w:val="00CE57F6"/>
    <w:rsid w:val="00CF467D"/>
    <w:rsid w:val="00D10601"/>
    <w:rsid w:val="00D43F87"/>
    <w:rsid w:val="00D86026"/>
    <w:rsid w:val="00DB229C"/>
    <w:rsid w:val="00DE3D13"/>
    <w:rsid w:val="00DE7F84"/>
    <w:rsid w:val="00DF1A52"/>
    <w:rsid w:val="00DF523E"/>
    <w:rsid w:val="00E00A0B"/>
    <w:rsid w:val="00E027D7"/>
    <w:rsid w:val="00E03E23"/>
    <w:rsid w:val="00E47002"/>
    <w:rsid w:val="00E71EDD"/>
    <w:rsid w:val="00EA1102"/>
    <w:rsid w:val="00EA619D"/>
    <w:rsid w:val="00EA6C39"/>
    <w:rsid w:val="00EB4B7B"/>
    <w:rsid w:val="00EC6F26"/>
    <w:rsid w:val="00EE4C4D"/>
    <w:rsid w:val="00F018DF"/>
    <w:rsid w:val="00F1611E"/>
    <w:rsid w:val="00F22D35"/>
    <w:rsid w:val="00F53F9B"/>
    <w:rsid w:val="00F6138F"/>
    <w:rsid w:val="00F65BDF"/>
    <w:rsid w:val="00F67C2E"/>
    <w:rsid w:val="00F73B81"/>
    <w:rsid w:val="00F82733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3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EC9"/>
    <w:rPr>
      <w:sz w:val="24"/>
      <w:szCs w:val="24"/>
    </w:rPr>
  </w:style>
  <w:style w:type="table" w:styleId="TableGrid">
    <w:name w:val="Table Grid"/>
    <w:basedOn w:val="TableNormal"/>
    <w:uiPriority w:val="99"/>
    <w:rsid w:val="00A5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7385"/>
    <w:rPr>
      <w:rFonts w:ascii="Verdana" w:hAnsi="Verdana" w:cs="Times New Roman"/>
      <w:color w:val="0000FF"/>
      <w:u w:val="single"/>
    </w:rPr>
  </w:style>
  <w:style w:type="paragraph" w:customStyle="1" w:styleId="Default">
    <w:name w:val="Default"/>
    <w:uiPriority w:val="99"/>
    <w:rsid w:val="001C10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14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4620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8C005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guilar2@worldban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IFC</Company>
  <LinksUpToDate>false</LinksUpToDate>
  <CharactersWithSpaces>5793</CharactersWithSpaces>
  <SharedDoc>false</SharedDoc>
  <HLinks>
    <vt:vector size="12" baseType="variant">
      <vt:variant>
        <vt:i4>3866707</vt:i4>
      </vt:variant>
      <vt:variant>
        <vt:i4>3</vt:i4>
      </vt:variant>
      <vt:variant>
        <vt:i4>0</vt:i4>
      </vt:variant>
      <vt:variant>
        <vt:i4>5</vt:i4>
      </vt:variant>
      <vt:variant>
        <vt:lpwstr>mailto:gaguilar2@worldbank.org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http://www.ifc.org/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wb305713</dc:creator>
  <cp:lastModifiedBy>sbagaudinova</cp:lastModifiedBy>
  <cp:revision>3</cp:revision>
  <cp:lastPrinted>2010-10-25T20:15:00Z</cp:lastPrinted>
  <dcterms:created xsi:type="dcterms:W3CDTF">2010-11-01T22:52:00Z</dcterms:created>
  <dcterms:modified xsi:type="dcterms:W3CDTF">2010-11-01T23:05:00Z</dcterms:modified>
</cp:coreProperties>
</file>